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B199">
      <w:pPr>
        <w:autoSpaceDE w:val="0"/>
        <w:autoSpaceDN w:val="0"/>
        <w:adjustRightInd w:val="0"/>
        <w:spacing w:line="360" w:lineRule="auto"/>
        <w:jc w:val="left"/>
        <w:outlineLvl w:val="9"/>
        <w:rPr>
          <w:rFonts w:hint="eastAsia" w:ascii="黑体" w:hAnsi="黑体" w:eastAsia="黑体"/>
          <w:sz w:val="32"/>
          <w:szCs w:val="32"/>
          <w:lang w:val="en-US" w:eastAsia="zh-CN"/>
        </w:rPr>
      </w:pPr>
      <w:bookmarkStart w:id="0" w:name="_Toc4591"/>
    </w:p>
    <w:p w14:paraId="3692F241">
      <w:pPr>
        <w:autoSpaceDE w:val="0"/>
        <w:autoSpaceDN w:val="0"/>
        <w:adjustRightInd w:val="0"/>
        <w:spacing w:line="360" w:lineRule="auto"/>
        <w:rPr>
          <w:rFonts w:ascii="Times New Roman" w:hAnsi="Times New Roman" w:eastAsia="黑体"/>
          <w:sz w:val="44"/>
          <w:szCs w:val="44"/>
          <w:lang w:val="zh-CN"/>
        </w:rPr>
      </w:pPr>
    </w:p>
    <w:p w14:paraId="2383D0EA">
      <w:pPr>
        <w:autoSpaceDE w:val="0"/>
        <w:autoSpaceDN w:val="0"/>
        <w:adjustRightInd w:val="0"/>
        <w:spacing w:line="720" w:lineRule="auto"/>
        <w:jc w:val="center"/>
        <w:rPr>
          <w:rFonts w:hint="default"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中国招标投标协会团体标准</w:t>
      </w:r>
    </w:p>
    <w:p w14:paraId="61D4AB47">
      <w:pPr>
        <w:autoSpaceDE w:val="0"/>
        <w:autoSpaceDN w:val="0"/>
        <w:adjustRightInd w:val="0"/>
        <w:spacing w:line="360" w:lineRule="auto"/>
        <w:jc w:val="center"/>
        <w:outlineLvl w:val="9"/>
        <w:rPr>
          <w:rFonts w:hint="eastAsia" w:ascii="黑体" w:hAnsi="黑体" w:eastAsia="黑体" w:cs="黑体"/>
          <w:b/>
          <w:bCs/>
          <w:w w:val="95"/>
          <w:sz w:val="52"/>
          <w:szCs w:val="52"/>
          <w:lang w:val="en-US" w:eastAsia="zh-CN"/>
        </w:rPr>
      </w:pPr>
      <w:r>
        <w:rPr>
          <w:rFonts w:hint="eastAsia" w:ascii="黑体" w:hAnsi="黑体" w:eastAsia="黑体" w:cs="黑体"/>
          <w:b/>
          <w:bCs/>
          <w:w w:val="95"/>
          <w:sz w:val="52"/>
          <w:szCs w:val="52"/>
          <w:lang w:val="zh-CN"/>
        </w:rPr>
        <w:t>电线电缆采购技术</w:t>
      </w:r>
      <w:r>
        <w:rPr>
          <w:rFonts w:hint="eastAsia" w:ascii="黑体" w:hAnsi="黑体" w:eastAsia="黑体" w:cs="黑体"/>
          <w:b/>
          <w:bCs/>
          <w:w w:val="95"/>
          <w:sz w:val="52"/>
          <w:szCs w:val="52"/>
          <w:lang w:val="en-US" w:eastAsia="zh-CN"/>
        </w:rPr>
        <w:t>规范</w:t>
      </w:r>
    </w:p>
    <w:p w14:paraId="75723511">
      <w:pPr>
        <w:autoSpaceDE w:val="0"/>
        <w:autoSpaceDN w:val="0"/>
        <w:adjustRightInd w:val="0"/>
        <w:spacing w:line="720" w:lineRule="auto"/>
        <w:jc w:val="center"/>
        <w:outlineLvl w:val="9"/>
        <w:rPr>
          <w:rFonts w:hint="eastAsia" w:ascii="黑体" w:hAnsi="黑体" w:eastAsia="黑体" w:cs="黑体"/>
          <w:w w:val="95"/>
          <w:sz w:val="44"/>
          <w:szCs w:val="44"/>
          <w:lang w:val="zh-CN"/>
        </w:rPr>
      </w:pPr>
      <w:r>
        <w:rPr>
          <w:rFonts w:hint="eastAsia" w:ascii="黑体" w:hAnsi="黑体" w:eastAsia="黑体" w:cs="黑体"/>
          <w:b w:val="0"/>
          <w:bCs w:val="0"/>
          <w:w w:val="100"/>
          <w:sz w:val="44"/>
          <w:szCs w:val="44"/>
          <w:lang w:val="en-US"/>
        </w:rPr>
        <w:t>第</w:t>
      </w:r>
      <w:r>
        <w:rPr>
          <w:rFonts w:hint="eastAsia" w:ascii="黑体" w:hAnsi="黑体" w:eastAsia="黑体" w:cs="黑体"/>
          <w:b w:val="0"/>
          <w:bCs w:val="0"/>
          <w:w w:val="100"/>
          <w:sz w:val="44"/>
          <w:szCs w:val="44"/>
          <w:lang w:val="en-US" w:eastAsia="zh-CN"/>
        </w:rPr>
        <w:t>13</w:t>
      </w:r>
      <w:r>
        <w:rPr>
          <w:rFonts w:hint="eastAsia" w:ascii="黑体" w:hAnsi="黑体" w:eastAsia="黑体" w:cs="黑体"/>
          <w:b w:val="0"/>
          <w:bCs w:val="0"/>
          <w:w w:val="100"/>
          <w:sz w:val="44"/>
          <w:szCs w:val="44"/>
          <w:lang w:val="en-US"/>
        </w:rPr>
        <w:t>部分：</w:t>
      </w:r>
      <w:r>
        <w:rPr>
          <w:rFonts w:hint="eastAsia" w:ascii="黑体" w:hAnsi="黑体" w:eastAsia="黑体" w:cs="黑体"/>
          <w:b w:val="0"/>
          <w:bCs w:val="0"/>
          <w:w w:val="100"/>
          <w:sz w:val="44"/>
          <w:szCs w:val="44"/>
          <w:lang w:val="en-US" w:eastAsia="zh-CN"/>
        </w:rPr>
        <w:t>风力发电用耐扭曲软</w:t>
      </w:r>
      <w:r>
        <w:rPr>
          <w:rFonts w:hint="eastAsia" w:ascii="黑体" w:hAnsi="黑体" w:eastAsia="黑体" w:cs="黑体"/>
          <w:b w:val="0"/>
          <w:bCs w:val="0"/>
          <w:w w:val="100"/>
          <w:sz w:val="44"/>
          <w:szCs w:val="44"/>
          <w:lang w:val="en-US"/>
        </w:rPr>
        <w:t>电缆（</w:t>
      </w:r>
      <w:r>
        <w:rPr>
          <w:rFonts w:hint="eastAsia" w:ascii="黑体" w:hAnsi="黑体" w:eastAsia="黑体" w:cs="黑体"/>
          <w:b w:val="0"/>
          <w:bCs w:val="0"/>
          <w:w w:val="100"/>
          <w:sz w:val="44"/>
          <w:szCs w:val="44"/>
          <w:lang w:val="en-US" w:eastAsia="zh-CN"/>
        </w:rPr>
        <w:t>35</w:t>
      </w:r>
      <w:r>
        <w:rPr>
          <w:rFonts w:hint="eastAsia" w:ascii="黑体" w:hAnsi="黑体" w:eastAsia="黑体" w:cs="黑体"/>
          <w:b w:val="0"/>
          <w:bCs w:val="0"/>
          <w:w w:val="100"/>
          <w:sz w:val="44"/>
          <w:szCs w:val="44"/>
          <w:lang w:val="en-US"/>
        </w:rPr>
        <w:t>kV</w:t>
      </w:r>
      <w:r>
        <w:rPr>
          <w:rFonts w:hint="eastAsia" w:ascii="黑体" w:hAnsi="黑体" w:eastAsia="黑体" w:cs="黑体"/>
          <w:b w:val="0"/>
          <w:bCs w:val="0"/>
          <w:w w:val="100"/>
          <w:sz w:val="44"/>
          <w:szCs w:val="44"/>
          <w:lang w:val="en-US" w:eastAsia="zh-CN"/>
        </w:rPr>
        <w:t>及以下</w:t>
      </w:r>
      <w:r>
        <w:rPr>
          <w:rFonts w:hint="eastAsia" w:ascii="黑体" w:hAnsi="黑体" w:eastAsia="黑体" w:cs="黑体"/>
          <w:b w:val="0"/>
          <w:bCs w:val="0"/>
          <w:w w:val="100"/>
          <w:sz w:val="44"/>
          <w:szCs w:val="44"/>
          <w:lang w:val="en-US"/>
        </w:rPr>
        <w:t>）</w:t>
      </w:r>
    </w:p>
    <w:p w14:paraId="4D30B250">
      <w:pPr>
        <w:autoSpaceDE w:val="0"/>
        <w:autoSpaceDN w:val="0"/>
        <w:adjustRightInd w:val="0"/>
        <w:spacing w:line="720" w:lineRule="auto"/>
        <w:jc w:val="center"/>
        <w:rPr>
          <w:rFonts w:hint="eastAsia" w:ascii="黑体" w:hAnsi="黑体" w:eastAsia="黑体" w:cs="黑体"/>
          <w:sz w:val="44"/>
          <w:szCs w:val="44"/>
          <w:lang w:val="en-US" w:eastAsia="zh-CN"/>
        </w:rPr>
      </w:pPr>
    </w:p>
    <w:p w14:paraId="03371BD9">
      <w:pPr>
        <w:autoSpaceDE w:val="0"/>
        <w:autoSpaceDN w:val="0"/>
        <w:adjustRightInd w:val="0"/>
        <w:spacing w:line="360" w:lineRule="auto"/>
        <w:jc w:val="center"/>
        <w:rPr>
          <w:rFonts w:hint="default" w:ascii="Times New Roman" w:hAnsi="Times New Roman" w:eastAsia="黑体"/>
          <w:sz w:val="44"/>
          <w:szCs w:val="44"/>
          <w:lang w:val="en-US" w:eastAsia="zh-CN"/>
        </w:rPr>
      </w:pPr>
    </w:p>
    <w:p w14:paraId="4EB69AD1">
      <w:pPr>
        <w:autoSpaceDE w:val="0"/>
        <w:autoSpaceDN w:val="0"/>
        <w:adjustRightInd w:val="0"/>
        <w:spacing w:line="360" w:lineRule="auto"/>
        <w:jc w:val="center"/>
        <w:rPr>
          <w:rFonts w:hint="default" w:ascii="Times New Roman" w:hAnsi="Times New Roman" w:eastAsia="黑体"/>
          <w:sz w:val="44"/>
          <w:szCs w:val="44"/>
          <w:lang w:val="en-US" w:eastAsia="zh-CN"/>
        </w:rPr>
      </w:pPr>
    </w:p>
    <w:p w14:paraId="0F161A88">
      <w:pPr>
        <w:autoSpaceDE w:val="0"/>
        <w:autoSpaceDN w:val="0"/>
        <w:adjustRightInd w:val="0"/>
        <w:spacing w:line="360" w:lineRule="auto"/>
        <w:jc w:val="center"/>
        <w:outlineLvl w:val="9"/>
        <w:rPr>
          <w:rFonts w:hint="eastAsia" w:ascii="黑体" w:hAnsi="黑体" w:eastAsia="黑体" w:cs="黑体"/>
          <w:b/>
          <w:bCs/>
          <w:sz w:val="52"/>
          <w:szCs w:val="52"/>
          <w:lang w:val="en-US"/>
        </w:rPr>
      </w:pPr>
      <w:r>
        <w:rPr>
          <w:rFonts w:hint="eastAsia" w:ascii="黑体" w:hAnsi="黑体" w:eastAsia="黑体" w:cs="黑体"/>
          <w:b/>
          <w:bCs/>
          <w:spacing w:val="173"/>
          <w:kern w:val="0"/>
          <w:sz w:val="52"/>
          <w:szCs w:val="52"/>
          <w:fitText w:val="3120" w:id="-243984201"/>
          <w:lang w:val="en-US"/>
        </w:rPr>
        <w:t>编制说</w:t>
      </w:r>
      <w:r>
        <w:rPr>
          <w:rFonts w:hint="eastAsia" w:ascii="黑体" w:hAnsi="黑体" w:eastAsia="黑体" w:cs="黑体"/>
          <w:b/>
          <w:bCs/>
          <w:spacing w:val="1"/>
          <w:kern w:val="0"/>
          <w:sz w:val="52"/>
          <w:szCs w:val="52"/>
          <w:fitText w:val="3120" w:id="-243984201"/>
          <w:lang w:val="en-US"/>
        </w:rPr>
        <w:t>明</w:t>
      </w:r>
    </w:p>
    <w:p w14:paraId="6FED8082">
      <w:pPr>
        <w:pStyle w:val="18"/>
        <w:spacing w:before="0" w:beforeAutospacing="0" w:after="0" w:afterAutospacing="0"/>
        <w:jc w:val="both"/>
        <w:textAlignment w:val="baseline"/>
        <w:rPr>
          <w:rFonts w:ascii="Times New Roman" w:hAnsi="Times New Roman" w:eastAsia="黑体" w:cs="Times New Roman"/>
          <w:bCs/>
          <w:kern w:val="24"/>
          <w:sz w:val="40"/>
          <w:szCs w:val="40"/>
        </w:rPr>
      </w:pPr>
    </w:p>
    <w:p w14:paraId="45D12701">
      <w:pPr>
        <w:pStyle w:val="18"/>
        <w:spacing w:before="0" w:beforeAutospacing="0" w:after="0" w:afterAutospacing="0"/>
        <w:jc w:val="both"/>
        <w:textAlignment w:val="baseline"/>
        <w:rPr>
          <w:rFonts w:ascii="Times New Roman" w:hAnsi="Times New Roman" w:eastAsia="黑体" w:cs="Times New Roman"/>
          <w:b/>
          <w:bCs/>
          <w:kern w:val="24"/>
          <w:sz w:val="40"/>
          <w:szCs w:val="40"/>
        </w:rPr>
      </w:pPr>
    </w:p>
    <w:p w14:paraId="03D2184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DF8FC49">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64797050">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21D6A7CC">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2F004D1">
      <w:pPr>
        <w:pStyle w:val="18"/>
        <w:spacing w:before="0" w:beforeAutospacing="0" w:after="0" w:afterAutospacing="0"/>
        <w:jc w:val="center"/>
        <w:textAlignment w:val="baseline"/>
        <w:rPr>
          <w:rFonts w:ascii="Times New Roman" w:hAnsi="Times New Roman" w:eastAsia="黑体" w:cs="Times New Roman"/>
          <w:b/>
          <w:bCs/>
          <w:kern w:val="24"/>
          <w:sz w:val="40"/>
          <w:szCs w:val="40"/>
        </w:rPr>
      </w:pPr>
    </w:p>
    <w:p w14:paraId="4504DF20">
      <w:pPr>
        <w:autoSpaceDE w:val="0"/>
        <w:autoSpaceDN w:val="0"/>
        <w:adjustRightInd w:val="0"/>
        <w:spacing w:line="360" w:lineRule="auto"/>
        <w:jc w:val="center"/>
        <w:outlineLvl w:val="9"/>
        <w:rPr>
          <w:rFonts w:hint="eastAsia" w:ascii="黑体" w:hAnsi="黑体" w:eastAsia="黑体" w:cs="黑体"/>
          <w:sz w:val="32"/>
          <w:szCs w:val="32"/>
          <w:lang w:val="zh-CN"/>
        </w:rPr>
      </w:pPr>
      <w:bookmarkStart w:id="1" w:name="_Toc28983"/>
      <w:bookmarkStart w:id="2" w:name="_Toc467852381"/>
      <w:bookmarkStart w:id="3" w:name="_Toc1665062136"/>
      <w:bookmarkStart w:id="4" w:name="_Toc476665731"/>
      <w:bookmarkStart w:id="5" w:name="_Toc25758"/>
      <w:bookmarkStart w:id="6" w:name="_Toc28110"/>
      <w:bookmarkStart w:id="7" w:name="_Toc472000152"/>
      <w:bookmarkStart w:id="8" w:name="_Toc24681"/>
      <w:bookmarkStart w:id="9" w:name="_Toc26336"/>
      <w:bookmarkStart w:id="10" w:name="_Toc155256224"/>
      <w:bookmarkStart w:id="11" w:name="_Toc23793"/>
      <w:bookmarkStart w:id="12" w:name="_Toc1563290462"/>
      <w:r>
        <w:rPr>
          <w:rFonts w:hint="eastAsia" w:ascii="黑体" w:hAnsi="黑体" w:eastAsia="黑体" w:cs="黑体"/>
          <w:sz w:val="32"/>
          <w:szCs w:val="32"/>
          <w:lang w:val="zh-CN"/>
        </w:rPr>
        <w:t>标准编制组</w:t>
      </w:r>
      <w:bookmarkEnd w:id="1"/>
      <w:bookmarkEnd w:id="2"/>
      <w:bookmarkEnd w:id="3"/>
      <w:bookmarkEnd w:id="4"/>
      <w:bookmarkEnd w:id="5"/>
      <w:bookmarkEnd w:id="6"/>
      <w:bookmarkEnd w:id="7"/>
      <w:bookmarkEnd w:id="8"/>
      <w:bookmarkEnd w:id="9"/>
      <w:bookmarkEnd w:id="10"/>
      <w:bookmarkEnd w:id="11"/>
      <w:bookmarkEnd w:id="12"/>
    </w:p>
    <w:p w14:paraId="40FC1D9C">
      <w:pPr>
        <w:tabs>
          <w:tab w:val="right" w:leader="dot" w:pos="8296"/>
        </w:tabs>
        <w:jc w:val="center"/>
        <w:rPr>
          <w:rFonts w:hint="eastAsia" w:ascii="黑体" w:hAnsi="黑体" w:eastAsia="黑体" w:cs="黑体"/>
          <w:sz w:val="32"/>
          <w:szCs w:val="32"/>
          <w:lang w:val="zh-CN"/>
        </w:rPr>
        <w:sectPr>
          <w:footerReference r:id="rId3"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黑体" w:hAnsi="黑体" w:eastAsia="黑体" w:cs="黑体"/>
          <w:sz w:val="32"/>
          <w:szCs w:val="32"/>
          <w:lang w:val="zh-CN"/>
        </w:rPr>
        <w:t>20</w:t>
      </w:r>
      <w:r>
        <w:rPr>
          <w:rFonts w:hint="eastAsia" w:ascii="黑体" w:hAnsi="黑体" w:eastAsia="黑体" w:cs="黑体"/>
          <w:sz w:val="32"/>
          <w:szCs w:val="32"/>
        </w:rPr>
        <w:t>2</w:t>
      </w:r>
      <w:r>
        <w:rPr>
          <w:rFonts w:hint="eastAsia" w:ascii="黑体" w:hAnsi="黑体" w:eastAsia="黑体" w:cs="黑体"/>
          <w:sz w:val="32"/>
          <w:szCs w:val="32"/>
          <w:lang w:val="en-US" w:eastAsia="zh-CN"/>
        </w:rPr>
        <w:t>5</w:t>
      </w:r>
      <w:r>
        <w:rPr>
          <w:rFonts w:hint="eastAsia" w:ascii="黑体" w:hAnsi="黑体" w:eastAsia="黑体" w:cs="黑体"/>
          <w:sz w:val="32"/>
          <w:szCs w:val="32"/>
          <w:lang w:val="zh-CN"/>
        </w:rPr>
        <w:t>年</w:t>
      </w:r>
      <w:r>
        <w:rPr>
          <w:rFonts w:hint="eastAsia" w:ascii="黑体" w:hAnsi="黑体" w:eastAsia="黑体" w:cs="黑体"/>
          <w:sz w:val="32"/>
          <w:szCs w:val="32"/>
          <w:lang w:val="en-US" w:eastAsia="zh-CN"/>
        </w:rPr>
        <w:t>10</w:t>
      </w:r>
      <w:r>
        <w:rPr>
          <w:rFonts w:hint="eastAsia" w:ascii="黑体" w:hAnsi="黑体" w:eastAsia="黑体" w:cs="黑体"/>
          <w:sz w:val="32"/>
          <w:szCs w:val="32"/>
          <w:lang w:val="zh-CN"/>
        </w:rPr>
        <w:t>月</w:t>
      </w:r>
    </w:p>
    <w:sdt>
      <w:sdtPr>
        <w:rPr>
          <w:rFonts w:ascii="宋体" w:hAnsi="宋体" w:eastAsia="宋体" w:cstheme="minorBidi"/>
          <w:b/>
          <w:bCs/>
          <w:kern w:val="2"/>
          <w:sz w:val="28"/>
          <w:szCs w:val="28"/>
          <w:lang w:val="en-US" w:eastAsia="zh-CN" w:bidi="ar-SA"/>
        </w:rPr>
        <w:id w:val="147461887"/>
        <w15:color w:val="DBDBDB"/>
        <w:docPartObj>
          <w:docPartGallery w:val="Table of Contents"/>
          <w:docPartUnique/>
        </w:docPartObj>
      </w:sdtPr>
      <w:sdtEndPr>
        <w:rPr>
          <w:rFonts w:hint="eastAsia" w:ascii="黑体" w:hAnsi="黑体" w:eastAsia="黑体" w:cs="黑体"/>
          <w:b/>
          <w:bCs/>
          <w:kern w:val="2"/>
          <w:sz w:val="21"/>
          <w:szCs w:val="32"/>
          <w:lang w:val="zh-CN" w:eastAsia="zh-CN" w:bidi="ar-SA"/>
        </w:rPr>
      </w:sdtEndPr>
      <w:sdtContent>
        <w:p w14:paraId="3CA0334E">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目录</w:t>
          </w:r>
        </w:p>
        <w:p w14:paraId="021294DE">
          <w:pPr>
            <w:spacing w:before="0" w:beforeLines="0" w:after="0" w:afterLines="0" w:line="240" w:lineRule="auto"/>
            <w:ind w:left="0" w:leftChars="0" w:right="0" w:rightChars="0" w:firstLine="0" w:firstLineChars="0"/>
            <w:jc w:val="center"/>
            <w:rPr>
              <w:rFonts w:ascii="宋体" w:hAnsi="宋体" w:eastAsia="宋体"/>
              <w:sz w:val="21"/>
            </w:rPr>
          </w:pPr>
        </w:p>
        <w:p w14:paraId="27CE556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rPr>
          </w:pPr>
          <w:r>
            <w:rPr>
              <w:rFonts w:hint="default" w:ascii="Times New Roman Regular" w:hAnsi="Times New Roman Regular" w:eastAsia="宋体" w:cs="Times New Roman Regular"/>
              <w:b w:val="0"/>
              <w:kern w:val="2"/>
              <w:sz w:val="21"/>
              <w:szCs w:val="32"/>
              <w:lang w:val="zh-CN" w:eastAsia="zh-CN" w:bidi="ar-SA"/>
            </w:rPr>
            <w:fldChar w:fldCharType="begin"/>
          </w:r>
          <w:r>
            <w:rPr>
              <w:rFonts w:hint="default" w:ascii="Times New Roman Regular" w:hAnsi="Times New Roman Regular" w:eastAsia="宋体" w:cs="Times New Roman Regular"/>
              <w:b w:val="0"/>
              <w:kern w:val="2"/>
              <w:sz w:val="21"/>
              <w:szCs w:val="32"/>
              <w:lang w:val="zh-CN" w:eastAsia="zh-CN" w:bidi="ar-SA"/>
            </w:rPr>
            <w:instrText xml:space="preserve">TOC \o "1-3" \h \u </w:instrText>
          </w:r>
          <w:r>
            <w:rPr>
              <w:rFonts w:hint="default" w:ascii="Times New Roman Regular" w:hAnsi="Times New Roman Regular" w:eastAsia="宋体" w:cs="Times New Roman Regular"/>
              <w:b w:val="0"/>
              <w:kern w:val="2"/>
              <w:sz w:val="21"/>
              <w:szCs w:val="32"/>
              <w:lang w:val="zh-CN" w:eastAsia="zh-CN" w:bidi="ar-SA"/>
            </w:rPr>
            <w:fldChar w:fldCharType="separate"/>
          </w: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_Toc262095872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28"/>
            </w:rPr>
            <w:t>一、</w:t>
          </w:r>
          <w:r>
            <w:rPr>
              <w:rFonts w:hint="default" w:ascii="Times New Roman Regular" w:hAnsi="Times New Roman Regular" w:eastAsia="宋体" w:cs="Times New Roman Regular"/>
              <w:b/>
              <w:bCs w:val="0"/>
              <w:szCs w:val="28"/>
              <w:lang w:val="en-US" w:eastAsia="zh-CN"/>
            </w:rPr>
            <w:t>工作简况</w:t>
          </w:r>
          <w:r>
            <w:rPr>
              <w:rFonts w:hint="default" w:ascii="Times New Roman Regular" w:hAnsi="Times New Roman Regular" w:eastAsia="宋体" w:cs="Times New Roman Regular"/>
              <w:b/>
              <w:bCs w:val="0"/>
            </w:rPr>
            <w:tab/>
          </w:r>
          <w:r>
            <w:rPr>
              <w:rFonts w:hint="default" w:ascii="Times New Roman Regular" w:hAnsi="Times New Roman Regular" w:eastAsia="宋体" w:cs="Times New Roman Regular"/>
              <w:b/>
              <w:bCs w:val="0"/>
            </w:rPr>
            <w:fldChar w:fldCharType="begin"/>
          </w:r>
          <w:r>
            <w:rPr>
              <w:rFonts w:hint="default" w:ascii="Times New Roman Regular" w:hAnsi="Times New Roman Regular" w:eastAsia="宋体" w:cs="Times New Roman Regular"/>
              <w:b/>
              <w:bCs w:val="0"/>
            </w:rPr>
            <w:instrText xml:space="preserve"> PAGEREF _Toc262095872 \h </w:instrText>
          </w:r>
          <w:r>
            <w:rPr>
              <w:rFonts w:hint="default" w:ascii="Times New Roman Regular" w:hAnsi="Times New Roman Regular" w:eastAsia="宋体" w:cs="Times New Roman Regular"/>
              <w:b/>
              <w:bCs w:val="0"/>
            </w:rPr>
            <w:fldChar w:fldCharType="separate"/>
          </w:r>
          <w:r>
            <w:rPr>
              <w:rFonts w:hint="default" w:ascii="Times New Roman Regular" w:hAnsi="Times New Roman Regular" w:eastAsia="宋体" w:cs="Times New Roman Regular"/>
              <w:b/>
              <w:bCs w:val="0"/>
            </w:rPr>
            <w:t>1</w:t>
          </w:r>
          <w:r>
            <w:rPr>
              <w:rFonts w:hint="default" w:ascii="Times New Roman Regular" w:hAnsi="Times New Roman Regular" w:eastAsia="宋体" w:cs="Times New Roman Regular"/>
              <w:b/>
              <w:bCs w:val="0"/>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B1E852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_Toc556360707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（一）项目简述</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_Toc556360707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93E9288">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_Toc610603511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lang w:val="en-US" w:eastAsia="zh-CN"/>
            </w:rPr>
            <w:t>（二）制定背景</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_Toc610603511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1</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F168FC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_Toc1736344011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szCs w:val="24"/>
            </w:rPr>
            <w:t>（三）主要工作过程</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_Toc1736344011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4A8DC3">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_Toc578513794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1．</w:t>
          </w:r>
          <w:r>
            <w:rPr>
              <w:rFonts w:hint="default" w:ascii="Times New Roman Regular" w:hAnsi="Times New Roman Regular" w:eastAsia="宋体" w:cs="Times New Roman Regular"/>
              <w:b w:val="0"/>
              <w:bCs/>
              <w:szCs w:val="21"/>
            </w:rPr>
            <w:t>预研阶段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_Toc578513794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2D4B31E">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_Toc1422865789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rPr>
            <w:t>2．立项阶段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_Toc1422865789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3665AF8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_Toc1874906378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rPr>
            <w:t>3．</w:t>
          </w:r>
          <w:r>
            <w:rPr>
              <w:rFonts w:hint="default" w:ascii="Times New Roman Regular" w:hAnsi="Times New Roman Regular" w:eastAsia="宋体" w:cs="Times New Roman Regular"/>
              <w:b w:val="0"/>
              <w:bCs/>
              <w:kern w:val="2"/>
              <w:szCs w:val="21"/>
              <w:lang w:val="en-US" w:eastAsia="zh-CN"/>
            </w:rPr>
            <w:t>起草阶段</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_Toc1874906378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2</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723CB7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_Toc1523942615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二、关于标准名称</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_Toc1523942615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1B4528B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_Toc2013556183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三、标准编制原则</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_Toc2013556183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461A2DA2">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_Toc1791458255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一致性</w:t>
          </w:r>
          <w:r>
            <w:rPr>
              <w:rFonts w:hint="default" w:ascii="Times New Roman Regular" w:hAnsi="Times New Roman Regular" w:eastAsia="宋体" w:cs="Times New Roman Regular"/>
              <w:b w:val="0"/>
              <w:bCs w:val="0"/>
              <w:szCs w:val="24"/>
            </w:rPr>
            <w:t>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_Toc1791458255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31A00EE">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_Toc1318160845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二</w:t>
          </w:r>
          <w:r>
            <w:rPr>
              <w:rFonts w:hint="default" w:ascii="Times New Roman Regular" w:hAnsi="Times New Roman Regular" w:eastAsia="宋体" w:cs="Times New Roman Regular"/>
              <w:b w:val="0"/>
              <w:bCs w:val="0"/>
              <w:szCs w:val="24"/>
              <w:lang w:eastAsia="zh-CN"/>
            </w:rPr>
            <w:t>）</w:t>
          </w:r>
          <w:r>
            <w:rPr>
              <w:rFonts w:hint="default" w:ascii="Times New Roman Regular" w:hAnsi="Times New Roman Regular" w:eastAsia="宋体" w:cs="Times New Roman Regular"/>
              <w:b w:val="0"/>
              <w:bCs w:val="0"/>
              <w:szCs w:val="24"/>
              <w:lang w:val="en-US" w:eastAsia="zh-CN"/>
            </w:rPr>
            <w:t>先进性原则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_Toc1318160845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D5D407D">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_Toc888019463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三</w:t>
          </w:r>
          <w:r>
            <w:rPr>
              <w:rFonts w:hint="default" w:ascii="Times New Roman Regular" w:hAnsi="Times New Roman Regular" w:eastAsia="宋体" w:cs="Times New Roman Regular"/>
              <w:b w:val="0"/>
              <w:bCs w:val="0"/>
              <w:szCs w:val="24"/>
            </w:rPr>
            <w:t>）协调性原则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_Toc888019463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578ABB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_Toc2079251638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w:t>
          </w:r>
          <w:r>
            <w:rPr>
              <w:rFonts w:hint="default" w:ascii="Times New Roman Regular" w:hAnsi="Times New Roman Regular" w:eastAsia="宋体" w:cs="Times New Roman Regular"/>
              <w:b w:val="0"/>
              <w:bCs w:val="0"/>
              <w:szCs w:val="24"/>
              <w:lang w:val="en-US" w:eastAsia="zh-CN"/>
            </w:rPr>
            <w:t>四</w:t>
          </w:r>
          <w:r>
            <w:rPr>
              <w:rFonts w:hint="default" w:ascii="Times New Roman Regular" w:hAnsi="Times New Roman Regular" w:eastAsia="宋体" w:cs="Times New Roman Regular"/>
              <w:b w:val="0"/>
              <w:bCs w:val="0"/>
              <w:szCs w:val="24"/>
            </w:rPr>
            <w:t>）可操作性原则</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_Toc2079251638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9D7CC02">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_Toc2128375882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四、标准主要内容及编制特点</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_Toc2128375882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4</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3D4CB0B3">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_Toc978340695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（一）</w:t>
          </w:r>
          <w:r>
            <w:rPr>
              <w:rFonts w:hint="default" w:ascii="Times New Roman Regular" w:hAnsi="Times New Roman Regular" w:eastAsia="宋体" w:cs="Times New Roman Regular"/>
              <w:b w:val="0"/>
              <w:bCs w:val="0"/>
              <w:szCs w:val="24"/>
              <w:lang w:val="en-US" w:eastAsia="zh-CN"/>
            </w:rPr>
            <w:t>主要内容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_Toc978340695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81AB06">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_Toc1837259433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1．范围</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_Toc1837259433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4</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201B01D">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_Toc151930218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2．规范性引用文件</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_Toc151930218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5</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02F7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_Toc133117643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3．术语和定义</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_Toc133117643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0C9BAE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_Toc1777749374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4．总体要求</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_Toc1777749374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52BE1658">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_Toc693748107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5．通用技术规范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_Toc693748107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05FB443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_Toc1135714786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6．专用技术规范</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_Toc1135714786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6DF0984F">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_Toc1123753766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7．附录</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_Toc1123753766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7740177">
          <w:pPr>
            <w:pStyle w:val="17"/>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_Toc1958353444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4"/>
            </w:rPr>
            <w:t>（二）</w:t>
          </w:r>
          <w:r>
            <w:rPr>
              <w:rFonts w:hint="default" w:ascii="Times New Roman Regular" w:hAnsi="Times New Roman Regular" w:eastAsia="宋体" w:cs="Times New Roman Regular"/>
              <w:b w:val="0"/>
              <w:bCs w:val="0"/>
              <w:szCs w:val="24"/>
              <w:lang w:val="en-US" w:eastAsia="zh-CN"/>
            </w:rPr>
            <w:t>编制特点</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_Toc1958353444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40C541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_Toc1711959386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1．统一性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_Toc1711959386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2542E549">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_Toc915497996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2．科学性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_Toc915497996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6</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7C57A844">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_Toc54488017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kern w:val="2"/>
              <w:szCs w:val="21"/>
              <w:lang w:val="en-US" w:eastAsia="zh-CN"/>
            </w:rPr>
            <w:t>3．实践性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_Toc54488017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1EBBD6A">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_Toc952068097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4．</w:t>
          </w:r>
          <w:r>
            <w:rPr>
              <w:rFonts w:hint="default" w:ascii="Times New Roman Regular" w:hAnsi="Times New Roman Regular" w:eastAsia="宋体" w:cs="Times New Roman Regular"/>
              <w:b w:val="0"/>
              <w:bCs/>
              <w:kern w:val="2"/>
              <w:szCs w:val="21"/>
              <w:lang w:val="en-US" w:eastAsia="zh-CN"/>
            </w:rPr>
            <w:t>全面性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_Toc952068097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16366002">
          <w:pPr>
            <w:pStyle w:val="12"/>
            <w:tabs>
              <w:tab w:val="right" w:leader="dot" w:pos="8306"/>
            </w:tabs>
            <w:spacing w:beforeLines="0" w:afterLines="0" w:line="360" w:lineRule="exact"/>
            <w:rPr>
              <w:rFonts w:hint="default" w:ascii="Times New Roman Regular" w:hAnsi="Times New Roman Regular" w:eastAsia="宋体" w:cs="Times New Roman Regular"/>
              <w:b w:val="0"/>
            </w:rPr>
          </w:pPr>
          <w:r>
            <w:rPr>
              <w:rFonts w:hint="default" w:ascii="Times New Roman Regular" w:hAnsi="Times New Roman Regular" w:eastAsia="宋体" w:cs="Times New Roman Regular"/>
              <w:b w:val="0"/>
              <w:kern w:val="2"/>
              <w:szCs w:val="32"/>
              <w:lang w:val="zh-CN" w:eastAsia="zh-CN" w:bidi="ar-SA"/>
            </w:rPr>
            <w:fldChar w:fldCharType="begin"/>
          </w:r>
          <w:r>
            <w:rPr>
              <w:rFonts w:hint="default" w:ascii="Times New Roman Regular" w:hAnsi="Times New Roman Regular" w:eastAsia="宋体" w:cs="Times New Roman Regular"/>
              <w:b w:val="0"/>
              <w:kern w:val="2"/>
              <w:szCs w:val="32"/>
              <w:lang w:val="zh-CN" w:eastAsia="zh-CN" w:bidi="ar-SA"/>
            </w:rPr>
            <w:instrText xml:space="preserve"> HYPERLINK \l _Toc507852482 </w:instrText>
          </w:r>
          <w:r>
            <w:rPr>
              <w:rFonts w:hint="default" w:ascii="Times New Roman Regular" w:hAnsi="Times New Roman Regular" w:eastAsia="宋体" w:cs="Times New Roman Regular"/>
              <w:b w:val="0"/>
              <w:kern w:val="2"/>
              <w:szCs w:val="32"/>
              <w:lang w:val="zh-CN" w:eastAsia="zh-CN" w:bidi="ar-SA"/>
            </w:rPr>
            <w:fldChar w:fldCharType="separate"/>
          </w:r>
          <w:r>
            <w:rPr>
              <w:rFonts w:hint="default" w:ascii="Times New Roman Regular" w:hAnsi="Times New Roman Regular" w:eastAsia="宋体" w:cs="Times New Roman Regular"/>
              <w:b w:val="0"/>
              <w:bCs w:val="0"/>
              <w:szCs w:val="21"/>
              <w:lang w:val="en-US" w:eastAsia="zh-CN"/>
            </w:rPr>
            <w:t>5．</w:t>
          </w:r>
          <w:r>
            <w:rPr>
              <w:rFonts w:hint="default" w:ascii="Times New Roman Regular" w:hAnsi="Times New Roman Regular" w:eastAsia="宋体" w:cs="Times New Roman Regular"/>
              <w:b w:val="0"/>
              <w:bCs/>
              <w:kern w:val="2"/>
              <w:szCs w:val="21"/>
              <w:lang w:val="en-US" w:eastAsia="zh-CN"/>
            </w:rPr>
            <w:t>先进性</w:t>
          </w:r>
          <w:r>
            <w:rPr>
              <w:rFonts w:hint="default" w:ascii="Times New Roman Regular" w:hAnsi="Times New Roman Regular" w:eastAsia="宋体" w:cs="Times New Roman Regular"/>
              <w:b w:val="0"/>
            </w:rPr>
            <w:tab/>
          </w:r>
          <w:r>
            <w:rPr>
              <w:rFonts w:hint="default" w:ascii="Times New Roman Regular" w:hAnsi="Times New Roman Regular" w:eastAsia="宋体" w:cs="Times New Roman Regular"/>
              <w:b w:val="0"/>
            </w:rPr>
            <w:fldChar w:fldCharType="begin"/>
          </w:r>
          <w:r>
            <w:rPr>
              <w:rFonts w:hint="default" w:ascii="Times New Roman Regular" w:hAnsi="Times New Roman Regular" w:eastAsia="宋体" w:cs="Times New Roman Regular"/>
              <w:b w:val="0"/>
            </w:rPr>
            <w:instrText xml:space="preserve"> PAGEREF _Toc507852482 \h </w:instrText>
          </w:r>
          <w:r>
            <w:rPr>
              <w:rFonts w:hint="default" w:ascii="Times New Roman Regular" w:hAnsi="Times New Roman Regular" w:eastAsia="宋体" w:cs="Times New Roman Regular"/>
              <w:b w:val="0"/>
            </w:rPr>
            <w:fldChar w:fldCharType="separate"/>
          </w:r>
          <w:r>
            <w:rPr>
              <w:rFonts w:hint="default" w:ascii="Times New Roman Regular" w:hAnsi="Times New Roman Regular" w:eastAsia="宋体" w:cs="Times New Roman Regular"/>
              <w:b w:val="0"/>
            </w:rPr>
            <w:t>7</w:t>
          </w:r>
          <w:r>
            <w:rPr>
              <w:rFonts w:hint="default" w:ascii="Times New Roman Regular" w:hAnsi="Times New Roman Regular" w:eastAsia="宋体" w:cs="Times New Roman Regular"/>
              <w:b w:val="0"/>
            </w:rPr>
            <w:fldChar w:fldCharType="end"/>
          </w:r>
          <w:r>
            <w:rPr>
              <w:rFonts w:hint="default" w:ascii="Times New Roman Regular" w:hAnsi="Times New Roman Regular" w:eastAsia="宋体" w:cs="Times New Roman Regular"/>
              <w:b w:val="0"/>
              <w:kern w:val="2"/>
              <w:szCs w:val="32"/>
              <w:lang w:val="zh-CN" w:eastAsia="zh-CN" w:bidi="ar-SA"/>
            </w:rPr>
            <w:fldChar w:fldCharType="end"/>
          </w:r>
        </w:p>
        <w:p w14:paraId="4D06020C">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_Toc1376651796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五、重大意见分歧的处理经过和依据</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_Toc1376651796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7</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02501295">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_Toc397922594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六、采标情况</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_Toc397922594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7</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51605B11">
          <w:pPr>
            <w:pStyle w:val="16"/>
            <w:tabs>
              <w:tab w:val="right" w:leader="dot" w:pos="8306"/>
            </w:tabs>
            <w:spacing w:before="79" w:beforeLines="25" w:after="79" w:afterLines="25" w:line="360" w:lineRule="exact"/>
            <w:rPr>
              <w:rFonts w:hint="default" w:ascii="Times New Roman Regular" w:hAnsi="Times New Roman Regular" w:eastAsia="宋体" w:cs="Times New Roman Regular"/>
              <w:b/>
              <w:bCs w:val="0"/>
              <w:szCs w:val="32"/>
              <w:lang w:val="zh-CN"/>
            </w:rPr>
          </w:pPr>
          <w:r>
            <w:rPr>
              <w:rFonts w:hint="default" w:ascii="Times New Roman Regular" w:hAnsi="Times New Roman Regular" w:eastAsia="宋体" w:cs="Times New Roman Regular"/>
              <w:b/>
              <w:bCs w:val="0"/>
              <w:kern w:val="2"/>
              <w:szCs w:val="32"/>
              <w:lang w:val="zh-CN" w:eastAsia="zh-CN" w:bidi="ar-SA"/>
            </w:rPr>
            <w:fldChar w:fldCharType="begin"/>
          </w:r>
          <w:r>
            <w:rPr>
              <w:rFonts w:hint="default" w:ascii="Times New Roman Regular" w:hAnsi="Times New Roman Regular" w:eastAsia="宋体" w:cs="Times New Roman Regular"/>
              <w:b/>
              <w:bCs w:val="0"/>
              <w:kern w:val="2"/>
              <w:szCs w:val="32"/>
              <w:lang w:val="zh-CN" w:eastAsia="zh-CN" w:bidi="ar-SA"/>
            </w:rPr>
            <w:instrText xml:space="preserve"> HYPERLINK \l _Toc620960600 </w:instrText>
          </w:r>
          <w:r>
            <w:rPr>
              <w:rFonts w:hint="default" w:ascii="Times New Roman Regular" w:hAnsi="Times New Roman Regular" w:eastAsia="宋体" w:cs="Times New Roman Regular"/>
              <w:b/>
              <w:bCs w:val="0"/>
              <w:kern w:val="2"/>
              <w:szCs w:val="32"/>
              <w:lang w:val="zh-CN" w:eastAsia="zh-CN" w:bidi="ar-SA"/>
            </w:rPr>
            <w:fldChar w:fldCharType="separate"/>
          </w:r>
          <w:r>
            <w:rPr>
              <w:rFonts w:hint="default" w:ascii="Times New Roman Regular" w:hAnsi="Times New Roman Regular" w:eastAsia="宋体" w:cs="Times New Roman Regular"/>
              <w:b/>
              <w:bCs w:val="0"/>
              <w:szCs w:val="32"/>
              <w:lang w:val="zh-CN" w:eastAsia="zh-CN"/>
            </w:rPr>
            <w:t>七、与现行法律法规和强制性国家标准的关系</w:t>
          </w:r>
          <w:r>
            <w:rPr>
              <w:rFonts w:hint="default" w:ascii="Times New Roman Regular" w:hAnsi="Times New Roman Regular" w:eastAsia="宋体" w:cs="Times New Roman Regular"/>
              <w:b/>
              <w:bCs w:val="0"/>
              <w:szCs w:val="32"/>
              <w:lang w:val="zh-CN"/>
            </w:rPr>
            <w:tab/>
          </w:r>
          <w:r>
            <w:rPr>
              <w:rFonts w:hint="default" w:ascii="Times New Roman Regular" w:hAnsi="Times New Roman Regular" w:eastAsia="宋体" w:cs="Times New Roman Regular"/>
              <w:b/>
              <w:bCs w:val="0"/>
              <w:szCs w:val="32"/>
              <w:lang w:val="zh-CN"/>
            </w:rPr>
            <w:fldChar w:fldCharType="begin"/>
          </w:r>
          <w:r>
            <w:rPr>
              <w:rFonts w:hint="default" w:ascii="Times New Roman Regular" w:hAnsi="Times New Roman Regular" w:eastAsia="宋体" w:cs="Times New Roman Regular"/>
              <w:b/>
              <w:bCs w:val="0"/>
              <w:szCs w:val="32"/>
              <w:lang w:val="zh-CN"/>
            </w:rPr>
            <w:instrText xml:space="preserve"> PAGEREF _Toc620960600 \h </w:instrText>
          </w:r>
          <w:r>
            <w:rPr>
              <w:rFonts w:hint="default" w:ascii="Times New Roman Regular" w:hAnsi="Times New Roman Regular" w:eastAsia="宋体" w:cs="Times New Roman Regular"/>
              <w:b/>
              <w:bCs w:val="0"/>
              <w:szCs w:val="32"/>
              <w:lang w:val="zh-CN"/>
            </w:rPr>
            <w:fldChar w:fldCharType="separate"/>
          </w:r>
          <w:r>
            <w:rPr>
              <w:rFonts w:hint="default" w:ascii="Times New Roman Regular" w:hAnsi="Times New Roman Regular" w:eastAsia="宋体" w:cs="Times New Roman Regular"/>
              <w:b/>
              <w:bCs w:val="0"/>
              <w:szCs w:val="32"/>
              <w:lang w:val="zh-CN"/>
            </w:rPr>
            <w:t>7</w:t>
          </w:r>
          <w:r>
            <w:rPr>
              <w:rFonts w:hint="default" w:ascii="Times New Roman Regular" w:hAnsi="Times New Roman Regular" w:eastAsia="宋体" w:cs="Times New Roman Regular"/>
              <w:b/>
              <w:bCs w:val="0"/>
              <w:szCs w:val="32"/>
              <w:lang w:val="zh-CN"/>
            </w:rPr>
            <w:fldChar w:fldCharType="end"/>
          </w:r>
          <w:r>
            <w:rPr>
              <w:rFonts w:hint="default" w:ascii="Times New Roman Regular" w:hAnsi="Times New Roman Regular" w:eastAsia="宋体" w:cs="Times New Roman Regular"/>
              <w:b/>
              <w:bCs w:val="0"/>
              <w:kern w:val="2"/>
              <w:szCs w:val="32"/>
              <w:lang w:val="zh-CN" w:eastAsia="zh-CN" w:bidi="ar-SA"/>
            </w:rPr>
            <w:fldChar w:fldCharType="end"/>
          </w:r>
        </w:p>
        <w:p w14:paraId="22FEC237">
          <w:pPr>
            <w:keepNext w:val="0"/>
            <w:keepLines w:val="0"/>
            <w:pageBreakBefore w:val="0"/>
            <w:widowControl w:val="0"/>
            <w:tabs>
              <w:tab w:val="right" w:leader="dot" w:pos="8296"/>
            </w:tabs>
            <w:kinsoku/>
            <w:wordWrap/>
            <w:overflowPunct/>
            <w:topLinePunct w:val="0"/>
            <w:autoSpaceDE/>
            <w:autoSpaceDN/>
            <w:bidi w:val="0"/>
            <w:adjustRightInd/>
            <w:snapToGrid/>
            <w:spacing w:beforeLines="0" w:afterLines="0" w:line="360" w:lineRule="exact"/>
            <w:jc w:val="center"/>
            <w:textAlignment w:val="auto"/>
            <w:rPr>
              <w:rFonts w:hint="eastAsia" w:ascii="黑体" w:hAnsi="黑体" w:eastAsia="黑体" w:cs="黑体"/>
              <w:kern w:val="2"/>
              <w:sz w:val="21"/>
              <w:szCs w:val="32"/>
              <w:lang w:val="zh-CN" w:eastAsia="zh-CN" w:bidi="ar-SA"/>
            </w:rPr>
          </w:pPr>
          <w:r>
            <w:rPr>
              <w:rFonts w:hint="default" w:ascii="Times New Roman Regular" w:hAnsi="Times New Roman Regular" w:eastAsia="宋体" w:cs="Times New Roman Regular"/>
              <w:b w:val="0"/>
              <w:kern w:val="2"/>
              <w:szCs w:val="32"/>
              <w:lang w:val="zh-CN" w:eastAsia="zh-CN" w:bidi="ar-SA"/>
            </w:rPr>
            <w:fldChar w:fldCharType="end"/>
          </w:r>
        </w:p>
      </w:sdtContent>
    </w:sdt>
    <w:p w14:paraId="2D57963E">
      <w:pPr>
        <w:tabs>
          <w:tab w:val="right" w:leader="dot" w:pos="8296"/>
        </w:tabs>
        <w:jc w:val="center"/>
        <w:rPr>
          <w:rFonts w:hint="eastAsia" w:ascii="黑体" w:hAnsi="黑体" w:eastAsia="黑体" w:cs="黑体"/>
          <w:kern w:val="2"/>
          <w:sz w:val="21"/>
          <w:szCs w:val="32"/>
          <w:lang w:val="zh-CN" w:eastAsia="zh-CN" w:bidi="ar-SA"/>
        </w:rPr>
      </w:pPr>
    </w:p>
    <w:p w14:paraId="35BF9403">
      <w:pPr>
        <w:widowControl/>
        <w:autoSpaceDE w:val="0"/>
        <w:autoSpaceDN w:val="0"/>
        <w:adjustRightInd w:val="0"/>
        <w:spacing w:before="157" w:beforeLines="50" w:after="313" w:afterLines="100" w:line="360" w:lineRule="auto"/>
        <w:jc w:val="center"/>
        <w:outlineLvl w:val="9"/>
        <w:rPr>
          <w:rFonts w:hint="default" w:ascii="Times New Roman" w:hAnsi="Times New Roman" w:eastAsia="黑体" w:cstheme="minorBidi"/>
          <w:b w:val="0"/>
          <w:kern w:val="2"/>
          <w:sz w:val="32"/>
          <w:szCs w:val="32"/>
          <w:lang w:val="zh-CN"/>
        </w:rPr>
        <w:sectPr>
          <w:footerReference r:id="rId4" w:type="default"/>
          <w:pgSz w:w="11906" w:h="16838"/>
          <w:pgMar w:top="1440" w:right="1800" w:bottom="1440" w:left="1800" w:header="851" w:footer="850" w:gutter="0"/>
          <w:pgBorders>
            <w:top w:val="none" w:sz="0" w:space="0"/>
            <w:left w:val="none" w:sz="0" w:space="0"/>
            <w:bottom w:val="none" w:sz="0" w:space="0"/>
            <w:right w:val="none" w:sz="0" w:space="0"/>
          </w:pgBorders>
          <w:pgNumType w:fmt="decimal" w:start="1"/>
          <w:cols w:space="425" w:num="1"/>
          <w:docGrid w:type="lines" w:linePitch="312" w:charSpace="0"/>
        </w:sectPr>
      </w:pPr>
    </w:p>
    <w:p w14:paraId="290AA183">
      <w:pPr>
        <w:keepNext w:val="0"/>
        <w:keepLines w:val="0"/>
        <w:pageBreakBefore w:val="0"/>
        <w:widowControl w:val="0"/>
        <w:kinsoku/>
        <w:wordWrap/>
        <w:overflowPunct/>
        <w:topLinePunct w:val="0"/>
        <w:autoSpaceDE w:val="0"/>
        <w:autoSpaceDN w:val="0"/>
        <w:bidi w:val="0"/>
        <w:adjustRightInd w:val="0"/>
        <w:snapToGrid/>
        <w:spacing w:after="313" w:afterLines="100" w:line="360" w:lineRule="auto"/>
        <w:jc w:val="center"/>
        <w:textAlignment w:val="auto"/>
        <w:outlineLvl w:val="9"/>
        <w:rPr>
          <w:rFonts w:hint="eastAsia" w:ascii="黑体" w:hAnsi="黑体" w:eastAsia="黑体" w:cs="黑体"/>
          <w:bCs w:val="0"/>
          <w:kern w:val="2"/>
          <w:sz w:val="32"/>
          <w:szCs w:val="32"/>
          <w:lang w:val="zh-CN"/>
        </w:rPr>
      </w:pPr>
      <w:r>
        <w:rPr>
          <w:rFonts w:hint="eastAsia" w:ascii="黑体" w:hAnsi="黑体" w:eastAsia="黑体" w:cs="黑体"/>
          <w:b w:val="0"/>
          <w:bCs w:val="0"/>
          <w:sz w:val="32"/>
          <w:szCs w:val="32"/>
          <w:highlight w:val="none"/>
          <w:lang w:val="en-US" w:eastAsia="zh-CN"/>
        </w:rPr>
        <w:t>《征求意见稿》编制说明</w:t>
      </w:r>
      <w:bookmarkEnd w:id="0"/>
    </w:p>
    <w:p w14:paraId="7A856831">
      <w:pPr>
        <w:pStyle w:val="2"/>
        <w:pageBreakBefore w:val="0"/>
        <w:widowControl w:val="0"/>
        <w:numPr>
          <w:ilvl w:val="0"/>
          <w:numId w:val="6"/>
        </w:numPr>
        <w:kinsoku/>
        <w:wordWrap/>
        <w:overflowPunct/>
        <w:topLinePunct w:val="0"/>
        <w:autoSpaceDE/>
        <w:autoSpaceDN/>
        <w:bidi w:val="0"/>
        <w:adjustRightInd/>
        <w:snapToGrid/>
        <w:spacing w:before="157" w:beforeLines="50" w:after="157" w:afterLines="50" w:line="360" w:lineRule="auto"/>
        <w:ind w:firstLine="420"/>
        <w:textAlignment w:val="auto"/>
        <w:rPr>
          <w:rFonts w:hint="eastAsia" w:ascii="黑体" w:hAnsi="黑体" w:eastAsia="黑体" w:cs="黑体"/>
          <w:b w:val="0"/>
          <w:sz w:val="28"/>
          <w:szCs w:val="28"/>
        </w:rPr>
      </w:pPr>
      <w:bookmarkStart w:id="13" w:name="_Toc2273"/>
      <w:bookmarkStart w:id="14" w:name="_Toc6506"/>
      <w:bookmarkStart w:id="15" w:name="_Toc1684"/>
      <w:bookmarkStart w:id="16" w:name="_Toc7834"/>
      <w:bookmarkStart w:id="17" w:name="_Toc32428"/>
      <w:bookmarkStart w:id="18" w:name="_Toc13053"/>
      <w:bookmarkStart w:id="19" w:name="_Toc8672"/>
      <w:bookmarkStart w:id="20" w:name="_Toc28305"/>
      <w:bookmarkStart w:id="21" w:name="_Toc474794126"/>
      <w:bookmarkStart w:id="22" w:name="_Toc262095872"/>
      <w:bookmarkStart w:id="23" w:name="_Toc10066"/>
      <w:bookmarkStart w:id="24" w:name="_Toc26147"/>
      <w:bookmarkStart w:id="25" w:name="_Toc7173"/>
      <w:bookmarkStart w:id="26" w:name="_Toc26735"/>
      <w:r>
        <w:rPr>
          <w:rFonts w:hint="eastAsia" w:ascii="黑体" w:hAnsi="黑体" w:eastAsia="黑体" w:cs="黑体"/>
          <w:b w:val="0"/>
          <w:sz w:val="28"/>
          <w:szCs w:val="28"/>
          <w:lang w:val="en-US" w:eastAsia="zh-CN"/>
        </w:rPr>
        <w:t>工作简况</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AC34BD">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27" w:name="_Toc8748"/>
      <w:bookmarkStart w:id="28" w:name="_Toc556360707"/>
      <w:bookmarkStart w:id="29" w:name="_Toc11618"/>
      <w:bookmarkStart w:id="30" w:name="_Toc1963127077"/>
      <w:bookmarkStart w:id="31" w:name="_Toc546"/>
      <w:bookmarkStart w:id="32" w:name="_Toc12774"/>
      <w:bookmarkStart w:id="33" w:name="_Toc19019"/>
      <w:bookmarkStart w:id="34" w:name="_Toc17126"/>
      <w:r>
        <w:rPr>
          <w:rFonts w:hint="eastAsia" w:ascii="黑体" w:hAnsi="黑体" w:eastAsia="黑体" w:cs="黑体"/>
          <w:b w:val="0"/>
          <w:bCs/>
          <w:sz w:val="24"/>
          <w:szCs w:val="24"/>
          <w:lang w:val="en-US" w:eastAsia="zh-CN"/>
        </w:rPr>
        <w:t>项目简述</w:t>
      </w:r>
      <w:bookmarkEnd w:id="27"/>
      <w:bookmarkEnd w:id="28"/>
      <w:bookmarkEnd w:id="29"/>
      <w:bookmarkEnd w:id="30"/>
      <w:bookmarkEnd w:id="31"/>
      <w:bookmarkEnd w:id="32"/>
      <w:bookmarkEnd w:id="33"/>
      <w:bookmarkEnd w:id="34"/>
    </w:p>
    <w:p w14:paraId="17843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《电线电缆采购技术规范 第13部分：风力发电用耐扭曲电缆（35kV及以下）》系T/CTBA 006《电线电缆采购技术规范》的第13部分，</w:t>
      </w:r>
      <w:r>
        <w:rPr>
          <w:rFonts w:hint="default" w:ascii="Times New Roman Regular" w:hAnsi="Times New Roman Regular" w:eastAsia="宋体" w:cs="Times New Roman Regular"/>
          <w:b w:val="0"/>
          <w:bCs w:val="0"/>
          <w:sz w:val="21"/>
          <w:szCs w:val="21"/>
          <w:lang w:val="en-US" w:eastAsia="zh-CN"/>
        </w:rPr>
        <w:t>由中国招标投标协会企业物资采购技术标准与碳标签工作部提出，中国招标投标协会归口。</w:t>
      </w:r>
    </w:p>
    <w:p w14:paraId="15D95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T/CTBA 006《电线电缆采购技术规范》是中国招标投标协会针对企业物资采购“技术规范书”编制工作重复、低效，产品需求规格、技术指标和服务等描述不完整、不明确、不合规等招采管理痛点问题，整合企业间相同采购需求，组织产业链骨干企业共同编制和共享成果的团体标准，旨在共享采购信息知识经验，引导企业采购标准化建设、集约化管理和数字化转型，切实推动全国统一大市场和高标准市场体系建设，促进现代绿色低碳智慧供应链、产业链高质量发展。</w:t>
      </w:r>
    </w:p>
    <w:p w14:paraId="3EE98DC1">
      <w:pPr>
        <w:pageBreakBefore w:val="0"/>
        <w:widowControl w:val="0"/>
        <w:numPr>
          <w:ilvl w:val="0"/>
          <w:numId w:val="7"/>
        </w:numPr>
        <w:kinsoku/>
        <w:wordWrap/>
        <w:overflowPunct/>
        <w:topLinePunct w:val="0"/>
        <w:autoSpaceDE/>
        <w:autoSpaceDN/>
        <w:bidi w:val="0"/>
        <w:adjustRightInd/>
        <w:snapToGrid/>
        <w:spacing w:before="157" w:beforeLines="50" w:after="157" w:afterLines="50" w:line="360" w:lineRule="auto"/>
        <w:ind w:firstLine="420" w:firstLineChars="0"/>
        <w:textAlignment w:val="auto"/>
        <w:outlineLvl w:val="1"/>
        <w:rPr>
          <w:rFonts w:hint="eastAsia" w:ascii="黑体" w:hAnsi="黑体" w:eastAsia="黑体" w:cs="黑体"/>
          <w:b w:val="0"/>
          <w:bCs/>
          <w:sz w:val="24"/>
          <w:szCs w:val="24"/>
          <w:lang w:val="en-US" w:eastAsia="zh-CN"/>
        </w:rPr>
      </w:pPr>
      <w:bookmarkStart w:id="35" w:name="_Toc24930"/>
      <w:bookmarkStart w:id="36" w:name="_Toc13791"/>
      <w:bookmarkStart w:id="37" w:name="_Toc32418"/>
      <w:bookmarkStart w:id="38" w:name="_Toc7245"/>
      <w:bookmarkStart w:id="39" w:name="_Toc338030631"/>
      <w:bookmarkStart w:id="40" w:name="_Toc610603511"/>
      <w:bookmarkStart w:id="41" w:name="_Toc9349"/>
      <w:bookmarkStart w:id="42" w:name="_Toc19726"/>
      <w:r>
        <w:rPr>
          <w:rFonts w:hint="eastAsia" w:ascii="黑体" w:hAnsi="黑体" w:eastAsia="黑体" w:cs="黑体"/>
          <w:b w:val="0"/>
          <w:bCs/>
          <w:sz w:val="24"/>
          <w:szCs w:val="24"/>
          <w:lang w:val="en-US" w:eastAsia="zh-CN"/>
        </w:rPr>
        <w:t>制定背景</w:t>
      </w:r>
      <w:bookmarkEnd w:id="35"/>
      <w:bookmarkEnd w:id="36"/>
      <w:bookmarkEnd w:id="37"/>
      <w:bookmarkEnd w:id="38"/>
      <w:bookmarkEnd w:id="39"/>
      <w:bookmarkEnd w:id="40"/>
      <w:bookmarkEnd w:id="41"/>
      <w:bookmarkEnd w:id="42"/>
    </w:p>
    <w:p w14:paraId="6E8871CA">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sz w:val="21"/>
          <w:szCs w:val="21"/>
          <w:lang w:val="en-US" w:eastAsia="zh-CN"/>
        </w:rPr>
        <w:t>党的十九大报告首次提出现代供应链概念，提出</w:t>
      </w:r>
      <w:r>
        <w:rPr>
          <w:rFonts w:hint="eastAsia" w:ascii="宋体" w:hAnsi="宋体" w:eastAsia="宋体" w:cs="宋体"/>
          <w:b w:val="0"/>
          <w:sz w:val="21"/>
          <w:szCs w:val="21"/>
          <w:lang w:val="en-US" w:eastAsia="zh-CN"/>
        </w:rPr>
        <w:t>“在中高端消费、创新引领、绿色低碳、共享经济、现代供应链、人力资本服务等领域培育新增长点、形成新动能”</w:t>
      </w:r>
      <w:r>
        <w:rPr>
          <w:rFonts w:hint="default" w:ascii="Times New Roman Regular" w:hAnsi="Times New Roman Regular" w:eastAsia="宋体" w:cs="Times New Roman Regular"/>
          <w:b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企业物资采购技术标准是现代供应链的基石，现代供应链的建设与发展有赖于物资采购体系的标准化、数字化和智慧化。</w:t>
      </w:r>
    </w:p>
    <w:p w14:paraId="674A6080">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eastAsia" w:ascii="宋体" w:hAnsi="宋体" w:eastAsia="宋体" w:cs="宋体"/>
          <w:b w:val="0"/>
          <w:bCs w:val="0"/>
          <w:sz w:val="21"/>
          <w:szCs w:val="21"/>
          <w:lang w:val="en-US" w:eastAsia="zh-CN"/>
        </w:rPr>
        <w:t>“构建全国统一大市场”和“建设高标准市场体系”</w:t>
      </w:r>
      <w:r>
        <w:rPr>
          <w:rFonts w:hint="default" w:ascii="Times New Roman Regular" w:hAnsi="Times New Roman Regular" w:eastAsia="宋体" w:cs="Times New Roman Regular"/>
          <w:b w:val="0"/>
          <w:bCs w:val="0"/>
          <w:sz w:val="21"/>
          <w:szCs w:val="21"/>
          <w:lang w:val="en-US" w:eastAsia="zh-CN"/>
        </w:rPr>
        <w:t>是国家战略，制定高水平采购技术标准是构建全国统一大市场和建设高标准市场体系的必然举措。《国务院办公厅关于创新完善体制机制推动招标投标市场规范健康发展的意见（国办发〔2024〕21号）》明确要求：</w:t>
      </w:r>
      <w:r>
        <w:rPr>
          <w:rFonts w:hint="eastAsia" w:ascii="宋体" w:hAnsi="宋体" w:eastAsia="宋体" w:cs="宋体"/>
          <w:b w:val="0"/>
          <w:bCs w:val="0"/>
          <w:sz w:val="21"/>
          <w:szCs w:val="21"/>
          <w:lang w:val="en-US" w:eastAsia="zh-CN"/>
        </w:rPr>
        <w:t>“</w:t>
      </w:r>
      <w:r>
        <w:rPr>
          <w:rFonts w:hint="default" w:ascii="Times New Roman Regular" w:hAnsi="Times New Roman Regular" w:eastAsia="宋体" w:cs="Times New Roman Regular"/>
          <w:b w:val="0"/>
          <w:bCs w:val="0"/>
          <w:sz w:val="21"/>
          <w:szCs w:val="21"/>
          <w:lang w:val="en-US" w:eastAsia="zh-CN"/>
        </w:rPr>
        <w:t>加快构建科学规范的招标投标交易标准体系，按照不同领域和专业制定数字化招标采购技术标准，满足各类项目专业化交易需求。建立招标投标领域统一分级分类的信用评价指标体系，规范招标投标信用评价应用。</w:t>
      </w:r>
      <w:r>
        <w:rPr>
          <w:rFonts w:hint="eastAsia" w:ascii="宋体" w:hAnsi="宋体" w:eastAsia="宋体" w:cs="宋体"/>
          <w:b w:val="0"/>
          <w:bCs w:val="0"/>
          <w:sz w:val="21"/>
          <w:szCs w:val="21"/>
          <w:lang w:val="en-US" w:eastAsia="zh-CN"/>
        </w:rPr>
        <w:t>”</w:t>
      </w:r>
    </w:p>
    <w:p w14:paraId="4027B4D3">
      <w:pPr>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Regular" w:hAnsi="Times New Roman Regular" w:eastAsia="宋体" w:cs="Times New Roman Regular"/>
          <w:b w:val="0"/>
          <w:sz w:val="21"/>
          <w:szCs w:val="21"/>
          <w:lang w:val="en-US" w:eastAsia="zh-CN"/>
        </w:rPr>
      </w:pPr>
      <w:r>
        <w:rPr>
          <w:rFonts w:hint="default" w:ascii="Times New Roman Regular" w:hAnsi="Times New Roman Regular" w:eastAsia="宋体" w:cs="Times New Roman Regular"/>
          <w:b w:val="0"/>
          <w:sz w:val="21"/>
          <w:szCs w:val="21"/>
          <w:lang w:val="en-US" w:eastAsia="zh-CN"/>
        </w:rPr>
        <w:t>国家鼓励企业、高等学校、科研机构和社会团体等开展标准化专业技术服务工作，提升标准化服务的社会化、市场化水平，服务企业标准化工作。（《企业标准化促进办法》2023年8月31日国家市场监督管理总局令第83号）&amp;（《政府采购需求管理办法》财库〔2021〕22号）</w:t>
      </w:r>
    </w:p>
    <w:p w14:paraId="7ADEFA37">
      <w:pPr>
        <w:keepNext w:val="0"/>
        <w:keepLines w:val="0"/>
        <w:pageBreakBefore w:val="0"/>
        <w:numPr>
          <w:ilvl w:val="0"/>
          <w:numId w:val="7"/>
        </w:numPr>
        <w:kinsoku/>
        <w:wordWrap/>
        <w:overflowPunct/>
        <w:topLinePunct w:val="0"/>
        <w:autoSpaceDE/>
        <w:autoSpaceDN/>
        <w:bidi w:val="0"/>
        <w:adjustRightInd/>
        <w:snapToGrid/>
        <w:spacing w:before="157" w:beforeLines="50" w:after="157" w:afterLines="50" w:line="360" w:lineRule="auto"/>
        <w:ind w:firstLine="420"/>
        <w:textAlignment w:val="auto"/>
        <w:outlineLvl w:val="1"/>
        <w:rPr>
          <w:rFonts w:hint="eastAsia" w:ascii="黑体" w:hAnsi="黑体" w:eastAsia="黑体" w:cs="黑体"/>
          <w:b w:val="0"/>
          <w:bCs/>
          <w:sz w:val="24"/>
          <w:szCs w:val="24"/>
        </w:rPr>
      </w:pPr>
      <w:bookmarkStart w:id="43" w:name="_Toc26444"/>
      <w:bookmarkStart w:id="44" w:name="_Toc1736344011"/>
      <w:bookmarkStart w:id="45" w:name="_Toc15370"/>
      <w:bookmarkStart w:id="46" w:name="_Toc29426"/>
      <w:bookmarkStart w:id="47" w:name="_Toc29490"/>
      <w:bookmarkStart w:id="48" w:name="_Toc4636"/>
      <w:bookmarkStart w:id="49" w:name="_Toc1186568902"/>
      <w:bookmarkStart w:id="50" w:name="_Toc11138"/>
      <w:r>
        <w:rPr>
          <w:rFonts w:hint="eastAsia" w:ascii="黑体" w:hAnsi="黑体" w:eastAsia="黑体" w:cs="黑体"/>
          <w:b w:val="0"/>
          <w:bCs/>
          <w:sz w:val="24"/>
          <w:szCs w:val="24"/>
        </w:rPr>
        <w:t>主要工作过程</w:t>
      </w:r>
      <w:bookmarkEnd w:id="43"/>
      <w:bookmarkEnd w:id="44"/>
      <w:bookmarkEnd w:id="45"/>
      <w:bookmarkEnd w:id="46"/>
      <w:bookmarkEnd w:id="47"/>
      <w:bookmarkEnd w:id="48"/>
      <w:bookmarkEnd w:id="49"/>
      <w:bookmarkEnd w:id="50"/>
    </w:p>
    <w:p w14:paraId="638DC08F">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20" w:firstLineChars="200"/>
        <w:textAlignment w:val="auto"/>
        <w:outlineLvl w:val="2"/>
        <w:rPr>
          <w:rFonts w:hint="default" w:ascii="Times New Roman Regular" w:hAnsi="Times New Roman Regular" w:eastAsia="宋体" w:cs="Times New Roman Regular"/>
          <w:b/>
          <w:bCs/>
          <w:kern w:val="2"/>
          <w:sz w:val="21"/>
          <w:szCs w:val="21"/>
        </w:rPr>
      </w:pPr>
      <w:bookmarkStart w:id="51" w:name="_Toc1130389872"/>
      <w:bookmarkStart w:id="52" w:name="_Toc11739"/>
      <w:bookmarkStart w:id="53" w:name="_Toc578513794"/>
      <w:bookmarkStart w:id="54" w:name="_Toc12796"/>
      <w:bookmarkStart w:id="55" w:name="_Toc11490"/>
      <w:bookmarkStart w:id="56" w:name="_Toc1133"/>
      <w:bookmarkStart w:id="57" w:name="_Toc28989"/>
      <w:r>
        <w:rPr>
          <w:rFonts w:hint="default" w:ascii="Times New Roman Regular" w:hAnsi="Times New Roman Regular" w:eastAsia="宋体" w:cs="Times New Roman Regular"/>
          <w:b/>
          <w:bCs/>
          <w:sz w:val="21"/>
          <w:szCs w:val="21"/>
        </w:rPr>
        <w:t>预研阶段</w:t>
      </w:r>
      <w:bookmarkEnd w:id="51"/>
      <w:bookmarkEnd w:id="52"/>
      <w:bookmarkEnd w:id="53"/>
      <w:bookmarkEnd w:id="54"/>
      <w:bookmarkEnd w:id="55"/>
      <w:bookmarkEnd w:id="56"/>
      <w:bookmarkEnd w:id="57"/>
    </w:p>
    <w:p w14:paraId="3AE3C250">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3</w:t>
      </w:r>
      <w:r>
        <w:rPr>
          <w:rFonts w:hint="default" w:ascii="Times New Roman Regular" w:hAnsi="Times New Roman Regular" w:eastAsia="宋体" w:cs="Times New Roman Regular"/>
          <w:b w:val="0"/>
          <w:kern w:val="2"/>
          <w:sz w:val="21"/>
          <w:szCs w:val="21"/>
        </w:rPr>
        <w:t>年</w:t>
      </w:r>
      <w:r>
        <w:rPr>
          <w:rFonts w:hint="default" w:ascii="Times New Roman Regular" w:hAnsi="Times New Roman Regular" w:eastAsia="宋体" w:cs="Times New Roman Regular"/>
          <w:b w:val="0"/>
          <w:kern w:val="2"/>
          <w:sz w:val="21"/>
          <w:szCs w:val="21"/>
          <w:lang w:val="en-US" w:eastAsia="zh-CN"/>
        </w:rPr>
        <w:t>12</w:t>
      </w:r>
      <w:r>
        <w:rPr>
          <w:rFonts w:hint="default" w:ascii="Times New Roman Regular" w:hAnsi="Times New Roman Regular" w:eastAsia="宋体" w:cs="Times New Roman Regular"/>
          <w:b w:val="0"/>
          <w:kern w:val="2"/>
          <w:sz w:val="21"/>
          <w:szCs w:val="21"/>
        </w:rPr>
        <w:t>月</w:t>
      </w:r>
      <w:r>
        <w:rPr>
          <w:rFonts w:hint="default" w:ascii="Times New Roman Regular" w:hAnsi="Times New Roman Regular" w:eastAsia="宋体" w:cs="Times New Roman Regular"/>
          <w:b w:val="0"/>
          <w:kern w:val="2"/>
          <w:sz w:val="21"/>
          <w:szCs w:val="21"/>
          <w:lang w:eastAsia="zh-CN"/>
        </w:rPr>
        <w:t>，</w:t>
      </w:r>
      <w:r>
        <w:rPr>
          <w:rFonts w:hint="default" w:ascii="Times New Roman Regular" w:hAnsi="Times New Roman Regular" w:eastAsia="宋体" w:cs="Times New Roman Regular"/>
          <w:b w:val="0"/>
          <w:kern w:val="2"/>
          <w:sz w:val="21"/>
          <w:szCs w:val="21"/>
          <w:lang w:val="en-US" w:eastAsia="zh-CN"/>
        </w:rPr>
        <w:t>国信云联数据科技股份有限公司率先提出，并着手标准项目预研工作。</w:t>
      </w:r>
    </w:p>
    <w:p w14:paraId="74E3A5DD">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2024年1—3月，</w:t>
      </w:r>
      <w:r>
        <w:rPr>
          <w:rFonts w:hint="eastAsia" w:ascii="Times New Roman Regular" w:hAnsi="Times New Roman Regular" w:eastAsia="宋体" w:cs="Times New Roman Regular"/>
          <w:b w:val="0"/>
          <w:kern w:val="2"/>
          <w:sz w:val="21"/>
          <w:szCs w:val="21"/>
          <w:lang w:val="en-US" w:eastAsia="zh-CN"/>
        </w:rPr>
        <w:t>中国华能集团</w:t>
      </w:r>
      <w:r>
        <w:rPr>
          <w:rFonts w:hint="default" w:ascii="Times New Roman Regular" w:hAnsi="Times New Roman Regular" w:eastAsia="宋体" w:cs="Times New Roman Regular"/>
          <w:b w:val="0"/>
          <w:kern w:val="2"/>
          <w:sz w:val="21"/>
          <w:szCs w:val="21"/>
          <w:lang w:val="en-US" w:eastAsia="zh-CN"/>
        </w:rPr>
        <w:t>华能能源交通产业控股有限公司（华能集团物资供应中心）</w:t>
      </w:r>
      <w:r>
        <w:rPr>
          <w:rFonts w:hint="eastAsia" w:ascii="Times New Roman Regular" w:hAnsi="Times New Roman Regular" w:eastAsia="宋体" w:cs="Times New Roman Regular"/>
          <w:b w:val="0"/>
          <w:kern w:val="2"/>
          <w:sz w:val="21"/>
          <w:szCs w:val="21"/>
          <w:lang w:val="en-US" w:eastAsia="zh-CN"/>
        </w:rPr>
        <w:t>牵头，联合</w:t>
      </w:r>
      <w:r>
        <w:rPr>
          <w:rFonts w:hint="default" w:ascii="Times New Roman Regular" w:hAnsi="Times New Roman Regular" w:eastAsia="宋体" w:cs="Times New Roman Regular"/>
          <w:b w:val="0"/>
          <w:kern w:val="2"/>
          <w:sz w:val="21"/>
          <w:szCs w:val="21"/>
          <w:lang w:val="en-US" w:eastAsia="zh-CN"/>
        </w:rPr>
        <w:t>中国水利电力物资集团有限公司</w:t>
      </w:r>
      <w:r>
        <w:rPr>
          <w:rFonts w:hint="default" w:ascii="Times New Roman Regular" w:hAnsi="Times New Roman Regular" w:eastAsia="宋体" w:cs="Times New Roman Regular"/>
          <w:b w:val="0"/>
          <w:kern w:val="2"/>
          <w:sz w:val="21"/>
          <w:szCs w:val="21"/>
        </w:rPr>
        <w:t>、</w:t>
      </w:r>
      <w:r>
        <w:rPr>
          <w:rFonts w:hint="default" w:ascii="Times New Roman Regular" w:hAnsi="Times New Roman Regular" w:eastAsia="宋体" w:cs="Times New Roman Regular"/>
          <w:b w:val="0"/>
          <w:kern w:val="2"/>
          <w:sz w:val="21"/>
          <w:szCs w:val="21"/>
          <w:lang w:val="en-US" w:eastAsia="zh-CN"/>
        </w:rPr>
        <w:t>中国电能成套设备有限公司、中国华电集团物资有限公司、国家能源集团物资有限公司、中国水利电力物资上海有限公司、华电海南物资有限公司等</w:t>
      </w:r>
      <w:r>
        <w:rPr>
          <w:rFonts w:hint="default" w:ascii="Times New Roman Regular" w:hAnsi="Times New Roman Regular" w:eastAsia="宋体" w:cs="Times New Roman Regular"/>
          <w:b w:val="0"/>
          <w:kern w:val="2"/>
          <w:sz w:val="21"/>
          <w:szCs w:val="21"/>
        </w:rPr>
        <w:t>相关</w:t>
      </w:r>
      <w:r>
        <w:rPr>
          <w:rFonts w:hint="eastAsia" w:ascii="Times New Roman Regular" w:hAnsi="Times New Roman Regular" w:eastAsia="宋体" w:cs="Times New Roman Regular"/>
          <w:b w:val="0"/>
          <w:kern w:val="2"/>
          <w:sz w:val="21"/>
          <w:szCs w:val="21"/>
          <w:lang w:val="en-US" w:eastAsia="zh-CN"/>
        </w:rPr>
        <w:t>采购单位</w:t>
      </w:r>
      <w:r>
        <w:rPr>
          <w:rFonts w:hint="default" w:ascii="Times New Roman Regular" w:hAnsi="Times New Roman Regular" w:eastAsia="宋体" w:cs="Times New Roman Regular"/>
          <w:b w:val="0"/>
          <w:kern w:val="2"/>
          <w:sz w:val="21"/>
          <w:szCs w:val="21"/>
          <w:lang w:val="en-US" w:eastAsia="zh-CN"/>
        </w:rPr>
        <w:t>负责人</w:t>
      </w:r>
      <w:r>
        <w:rPr>
          <w:rFonts w:hint="eastAsia" w:ascii="Times New Roman Regular" w:hAnsi="Times New Roman Regular" w:eastAsia="宋体" w:cs="Times New Roman Regular"/>
          <w:b w:val="0"/>
          <w:kern w:val="2"/>
          <w:sz w:val="21"/>
          <w:szCs w:val="21"/>
          <w:lang w:val="en-US" w:eastAsia="zh-CN"/>
        </w:rPr>
        <w:t>举行</w:t>
      </w:r>
      <w:r>
        <w:rPr>
          <w:rFonts w:hint="default" w:ascii="Times New Roman Regular" w:hAnsi="Times New Roman Regular" w:eastAsia="宋体" w:cs="Times New Roman Regular"/>
          <w:b w:val="0"/>
          <w:kern w:val="2"/>
          <w:sz w:val="21"/>
          <w:szCs w:val="21"/>
          <w:lang w:val="en-US" w:eastAsia="zh-CN"/>
        </w:rPr>
        <w:t>标准座谈会，深入研讨采购技术标准项目编制的必要性和可行性。</w:t>
      </w:r>
    </w:p>
    <w:p w14:paraId="36FED088">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lang w:val="en-US" w:eastAsia="zh-CN"/>
        </w:rPr>
        <w:t>2024年3月28—29日，在江苏省宜兴市召开</w:t>
      </w:r>
      <w:r>
        <w:rPr>
          <w:rFonts w:hint="default" w:ascii="Times New Roman Regular" w:hAnsi="Times New Roman Regular" w:eastAsia="宋体" w:cs="Times New Roman Regular"/>
          <w:b w:val="0"/>
          <w:sz w:val="21"/>
          <w:szCs w:val="21"/>
          <w:lang w:val="en-US" w:eastAsia="zh-CN"/>
        </w:rPr>
        <w:t>《发电企业电线电缆采购技术标准》编制研讨会，广泛征求</w:t>
      </w:r>
      <w:r>
        <w:rPr>
          <w:rFonts w:hint="default" w:ascii="Times New Roman Regular" w:hAnsi="Times New Roman Regular" w:eastAsia="宋体" w:cs="Times New Roman Regular"/>
          <w:b w:val="0"/>
          <w:sz w:val="21"/>
          <w:szCs w:val="21"/>
        </w:rPr>
        <w:t>业界专家意见</w:t>
      </w:r>
      <w:r>
        <w:rPr>
          <w:rFonts w:hint="default" w:ascii="Times New Roman Regular" w:hAnsi="Times New Roman Regular" w:eastAsia="宋体" w:cs="Times New Roman Regular"/>
          <w:b w:val="0"/>
          <w:sz w:val="21"/>
          <w:szCs w:val="21"/>
          <w:lang w:val="en-US" w:eastAsia="zh-CN"/>
        </w:rPr>
        <w:t>。</w:t>
      </w:r>
    </w:p>
    <w:p w14:paraId="441A6075">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rPr>
      </w:pPr>
      <w:bookmarkStart w:id="58" w:name="_Toc1422865789"/>
      <w:bookmarkStart w:id="59" w:name="_Toc10360"/>
      <w:bookmarkStart w:id="60" w:name="_Toc10961"/>
      <w:bookmarkStart w:id="61" w:name="_Toc4142"/>
      <w:bookmarkStart w:id="62" w:name="_Toc1822237342"/>
      <w:bookmarkStart w:id="63" w:name="_Toc3351"/>
      <w:bookmarkStart w:id="64" w:name="_Toc25711"/>
      <w:r>
        <w:rPr>
          <w:rFonts w:hint="default" w:ascii="Times New Roman Regular" w:hAnsi="Times New Roman Regular" w:eastAsia="宋体" w:cs="Times New Roman Regular"/>
          <w:b/>
          <w:bCs/>
          <w:kern w:val="2"/>
          <w:sz w:val="21"/>
          <w:szCs w:val="21"/>
        </w:rPr>
        <w:t>立项阶段</w:t>
      </w:r>
      <w:bookmarkEnd w:id="58"/>
      <w:bookmarkEnd w:id="59"/>
      <w:bookmarkEnd w:id="60"/>
      <w:bookmarkEnd w:id="61"/>
      <w:bookmarkEnd w:id="62"/>
      <w:bookmarkEnd w:id="63"/>
      <w:bookmarkEnd w:id="64"/>
    </w:p>
    <w:p w14:paraId="72B27A9B">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20" w:firstLineChars="200"/>
        <w:jc w:val="both"/>
        <w:textAlignment w:val="auto"/>
        <w:rPr>
          <w:rFonts w:hint="default" w:ascii="Times New Roman Regular" w:hAnsi="Times New Roman Regular" w:eastAsia="宋体" w:cs="Times New Roman Regular"/>
          <w:b w:val="0"/>
          <w:sz w:val="21"/>
          <w:szCs w:val="21"/>
        </w:rPr>
      </w:pPr>
      <w:r>
        <w:rPr>
          <w:rFonts w:hint="default" w:ascii="Times New Roman Regular" w:hAnsi="Times New Roman Regular" w:eastAsia="宋体" w:cs="Times New Roman Regular"/>
          <w:b w:val="0"/>
          <w:sz w:val="21"/>
          <w:szCs w:val="21"/>
          <w:lang w:val="en-US" w:eastAsia="zh-CN"/>
        </w:rPr>
        <w:t>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日，中国招标投标协会发布《发电企业电线电缆采购技术</w:t>
      </w:r>
      <w:r>
        <w:rPr>
          <w:rFonts w:hint="eastAsia" w:ascii="Times New Roman Regular" w:hAnsi="Times New Roman Regular" w:eastAsia="宋体" w:cs="Times New Roman Regular"/>
          <w:b w:val="0"/>
          <w:sz w:val="21"/>
          <w:szCs w:val="21"/>
          <w:lang w:val="en-US" w:eastAsia="zh-CN"/>
        </w:rPr>
        <w:t>规范 第13部分：风力发电用耐扭曲软</w:t>
      </w:r>
      <w:r>
        <w:rPr>
          <w:rFonts w:hint="default" w:ascii="Times New Roman Regular" w:hAnsi="Times New Roman Regular" w:eastAsia="宋体" w:cs="Times New Roman Regular"/>
          <w:b w:val="0"/>
          <w:sz w:val="21"/>
          <w:szCs w:val="21"/>
          <w:lang w:val="en-US" w:eastAsia="zh-CN"/>
        </w:rPr>
        <w:t>电缆</w:t>
      </w:r>
      <w:r>
        <w:rPr>
          <w:rFonts w:hint="eastAsia" w:ascii="Times New Roman Regular" w:hAnsi="Times New Roman Regular" w:eastAsia="宋体" w:cs="Times New Roman Regular"/>
          <w:b w:val="0"/>
          <w:bCs w:val="0"/>
          <w:sz w:val="21"/>
          <w:szCs w:val="21"/>
          <w:lang w:val="en-US" w:eastAsia="zh-CN"/>
        </w:rPr>
        <w:t>（35kV及以下）</w:t>
      </w:r>
      <w:r>
        <w:rPr>
          <w:rFonts w:hint="default" w:ascii="Times New Roman Regular" w:hAnsi="Times New Roman Regular" w:eastAsia="宋体" w:cs="Times New Roman Regular"/>
          <w:b w:val="0"/>
          <w:sz w:val="21"/>
          <w:szCs w:val="21"/>
          <w:lang w:val="en-US" w:eastAsia="zh-CN"/>
        </w:rPr>
        <w:t>》团体标准</w:t>
      </w:r>
      <w:r>
        <w:rPr>
          <w:rFonts w:hint="default" w:ascii="Times New Roman Regular" w:hAnsi="Times New Roman Regular" w:eastAsia="宋体" w:cs="Times New Roman Regular"/>
          <w:b w:val="0"/>
          <w:sz w:val="21"/>
          <w:szCs w:val="21"/>
        </w:rPr>
        <w:t>立项</w:t>
      </w:r>
      <w:r>
        <w:rPr>
          <w:rFonts w:hint="default" w:ascii="Times New Roman Regular" w:hAnsi="Times New Roman Regular" w:eastAsia="宋体" w:cs="Times New Roman Regular"/>
          <w:b w:val="0"/>
          <w:sz w:val="21"/>
          <w:szCs w:val="21"/>
          <w:lang w:val="en-US" w:eastAsia="zh-CN"/>
        </w:rPr>
        <w:t>公示，公示期为2024年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6</w:t>
      </w:r>
      <w:r>
        <w:rPr>
          <w:rFonts w:hint="default" w:ascii="Times New Roman Regular" w:hAnsi="Times New Roman Regular" w:eastAsia="宋体" w:cs="Times New Roman Regular"/>
          <w:b w:val="0"/>
          <w:sz w:val="21"/>
          <w:szCs w:val="21"/>
          <w:lang w:val="en-US" w:eastAsia="zh-CN"/>
        </w:rPr>
        <w:t>日至2024年</w:t>
      </w:r>
      <w:r>
        <w:rPr>
          <w:rFonts w:hint="eastAsia" w:ascii="Times New Roman Regular" w:hAnsi="Times New Roman Regular" w:eastAsia="宋体" w:cs="Times New Roman Regular"/>
          <w:b w:val="0"/>
          <w:sz w:val="21"/>
          <w:szCs w:val="21"/>
          <w:lang w:val="en-US" w:eastAsia="zh-CN"/>
        </w:rPr>
        <w:t>9</w:t>
      </w:r>
      <w:r>
        <w:rPr>
          <w:rFonts w:hint="default" w:ascii="Times New Roman Regular" w:hAnsi="Times New Roman Regular" w:eastAsia="宋体" w:cs="Times New Roman Regular"/>
          <w:b w:val="0"/>
          <w:sz w:val="21"/>
          <w:szCs w:val="21"/>
          <w:lang w:val="en-US" w:eastAsia="zh-CN"/>
        </w:rPr>
        <w:t>月</w:t>
      </w:r>
      <w:r>
        <w:rPr>
          <w:rFonts w:hint="eastAsia" w:ascii="Times New Roman Regular" w:hAnsi="Times New Roman Regular" w:eastAsia="宋体" w:cs="Times New Roman Regular"/>
          <w:b w:val="0"/>
          <w:sz w:val="21"/>
          <w:szCs w:val="21"/>
          <w:lang w:val="en-US" w:eastAsia="zh-CN"/>
        </w:rPr>
        <w:t>23</w:t>
      </w:r>
      <w:r>
        <w:rPr>
          <w:rFonts w:hint="default" w:ascii="Times New Roman Regular" w:hAnsi="Times New Roman Regular" w:eastAsia="宋体" w:cs="Times New Roman Regular"/>
          <w:b w:val="0"/>
          <w:sz w:val="21"/>
          <w:szCs w:val="21"/>
          <w:lang w:val="en-US" w:eastAsia="zh-CN"/>
        </w:rPr>
        <w:t>日</w:t>
      </w:r>
      <w:r>
        <w:rPr>
          <w:rFonts w:hint="default" w:ascii="Times New Roman Regular" w:hAnsi="Times New Roman Regular" w:eastAsia="宋体" w:cs="Times New Roman Regular"/>
          <w:b w:val="0"/>
          <w:sz w:val="21"/>
          <w:szCs w:val="21"/>
        </w:rPr>
        <w:t>。</w:t>
      </w:r>
    </w:p>
    <w:p w14:paraId="04AC55D1">
      <w:pPr>
        <w:keepNext w:val="0"/>
        <w:keepLines w:val="0"/>
        <w:pageBreakBefore w:val="0"/>
        <w:numPr>
          <w:ilvl w:val="0"/>
          <w:numId w:val="9"/>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rPr>
      </w:pPr>
      <w:bookmarkStart w:id="65" w:name="_Toc19751"/>
      <w:bookmarkStart w:id="66" w:name="_Toc13373"/>
      <w:bookmarkStart w:id="67" w:name="_Toc14673"/>
      <w:bookmarkStart w:id="68" w:name="_Toc24042"/>
      <w:bookmarkStart w:id="69" w:name="_Toc1874906378"/>
      <w:bookmarkStart w:id="70" w:name="_Toc1078717127"/>
      <w:bookmarkStart w:id="71" w:name="_Toc16113"/>
      <w:r>
        <w:rPr>
          <w:rFonts w:hint="default" w:ascii="Times New Roman Regular" w:hAnsi="Times New Roman Regular" w:eastAsia="宋体" w:cs="Times New Roman Regular"/>
          <w:b/>
          <w:bCs/>
          <w:kern w:val="2"/>
          <w:sz w:val="21"/>
          <w:szCs w:val="21"/>
          <w:lang w:val="en-US" w:eastAsia="zh-CN"/>
        </w:rPr>
        <w:t>起草阶段</w:t>
      </w:r>
      <w:bookmarkEnd w:id="65"/>
      <w:bookmarkEnd w:id="66"/>
      <w:bookmarkEnd w:id="67"/>
      <w:bookmarkEnd w:id="68"/>
      <w:bookmarkEnd w:id="69"/>
      <w:bookmarkEnd w:id="70"/>
      <w:bookmarkEnd w:id="71"/>
    </w:p>
    <w:p w14:paraId="5A6504FE">
      <w:pPr>
        <w:pStyle w:val="18"/>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至2025年9月，组织标准起草单位，开启标准编制工作，分工如下：</w:t>
      </w:r>
    </w:p>
    <w:tbl>
      <w:tblPr>
        <w:tblStyle w:val="19"/>
        <w:tblW w:w="4815" w:type="pct"/>
        <w:jc w:val="center"/>
        <w:tblBorders>
          <w:top w:val="single" w:color="auto" w:sz="12" w:space="0"/>
          <w:left w:val="dotted" w:color="auto" w:sz="4" w:space="0"/>
          <w:bottom w:val="single" w:color="auto" w:sz="12" w:space="0"/>
          <w:right w:val="dotted"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3489"/>
      </w:tblGrid>
      <w:tr w14:paraId="227569EC">
        <w:trPr>
          <w:trHeight w:val="498" w:hRule="atLeast"/>
          <w:tblHeader/>
          <w:jc w:val="center"/>
        </w:trPr>
        <w:tc>
          <w:tcPr>
            <w:tcW w:w="3107" w:type="pct"/>
            <w:tcBorders>
              <w:tl2br w:val="nil"/>
              <w:tr2bl w:val="nil"/>
            </w:tcBorders>
            <w:shd w:val="clear" w:color="auto" w:fill="auto"/>
            <w:noWrap/>
            <w:vAlign w:val="center"/>
          </w:tcPr>
          <w:p w14:paraId="487E0E31">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kern w:val="0"/>
                <w:sz w:val="18"/>
                <w:szCs w:val="18"/>
                <w:lang w:bidi="ar"/>
              </w:rPr>
              <w:t>单位</w:t>
            </w:r>
          </w:p>
        </w:tc>
        <w:tc>
          <w:tcPr>
            <w:tcW w:w="1892" w:type="pct"/>
            <w:tcBorders>
              <w:tl2br w:val="nil"/>
              <w:tr2bl w:val="nil"/>
            </w:tcBorders>
            <w:shd w:val="clear" w:color="auto" w:fill="auto"/>
            <w:noWrap/>
            <w:vAlign w:val="center"/>
          </w:tcPr>
          <w:p w14:paraId="6F6A82A6">
            <w:pPr>
              <w:keepNext w:val="0"/>
              <w:keepLines w:val="0"/>
              <w:widowControl/>
              <w:suppressLineNumbers w:val="0"/>
              <w:spacing w:before="0" w:beforeLines="0" w:beforeAutospacing="0" w:after="0" w:afterLines="0" w:afterAutospacing="0" w:line="288" w:lineRule="auto"/>
              <w:ind w:left="0" w:right="0"/>
              <w:jc w:val="center"/>
              <w:textAlignment w:val="center"/>
              <w:rPr>
                <w:rFonts w:hint="default" w:ascii="Times New Roman Regular" w:hAnsi="Times New Roman Regular" w:eastAsia="宋体" w:cs="Times New Roman Regular"/>
                <w:b w:val="0"/>
                <w:bCs w:val="0"/>
                <w:color w:val="000000"/>
                <w:sz w:val="18"/>
                <w:szCs w:val="18"/>
              </w:rPr>
            </w:pPr>
            <w:r>
              <w:rPr>
                <w:rFonts w:hint="default" w:ascii="Times New Roman Regular" w:hAnsi="Times New Roman Regular" w:eastAsia="宋体" w:cs="Times New Roman Regular"/>
                <w:b w:val="0"/>
                <w:bCs w:val="0"/>
                <w:color w:val="000000"/>
                <w:sz w:val="18"/>
                <w:szCs w:val="18"/>
              </w:rPr>
              <w:t>分工</w:t>
            </w:r>
          </w:p>
        </w:tc>
      </w:tr>
      <w:tr w14:paraId="202B0948">
        <w:trPr>
          <w:trHeight w:val="510" w:hRule="atLeast"/>
          <w:jc w:val="center"/>
        </w:trPr>
        <w:tc>
          <w:tcPr>
            <w:tcW w:w="3107" w:type="pct"/>
            <w:tcBorders>
              <w:tl2br w:val="nil"/>
              <w:tr2bl w:val="nil"/>
            </w:tcBorders>
            <w:shd w:val="clear" w:color="auto" w:fill="auto"/>
            <w:noWrap/>
            <w:vAlign w:val="center"/>
          </w:tcPr>
          <w:p w14:paraId="74C6E860">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中国华电集团物资有限公司</w:t>
            </w:r>
          </w:p>
        </w:tc>
        <w:tc>
          <w:tcPr>
            <w:tcW w:w="1892" w:type="pct"/>
            <w:tcBorders>
              <w:tl2br w:val="nil"/>
              <w:tr2bl w:val="nil"/>
            </w:tcBorders>
            <w:shd w:val="clear" w:color="auto" w:fill="auto"/>
            <w:noWrap/>
            <w:vAlign w:val="center"/>
          </w:tcPr>
          <w:p w14:paraId="0A815EBF">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b/>
                <w:bCs/>
                <w:sz w:val="18"/>
                <w:szCs w:val="18"/>
                <w:lang w:val="en-US" w:eastAsia="zh-CN"/>
              </w:rPr>
              <w:t>牵头编制初稿和审议</w:t>
            </w:r>
            <w:r>
              <w:rPr>
                <w:rFonts w:hint="default" w:ascii="Times New Roman Regular" w:hAnsi="Times New Roman Regular" w:eastAsia="宋体" w:cs="Times New Roman Regular"/>
                <w:b/>
                <w:bCs/>
                <w:sz w:val="18"/>
                <w:szCs w:val="18"/>
              </w:rPr>
              <w:t>。</w:t>
            </w:r>
          </w:p>
          <w:p w14:paraId="42964A1E">
            <w:pPr>
              <w:keepNext w:val="0"/>
              <w:keepLines w:val="0"/>
              <w:pageBreakBefore w:val="0"/>
              <w:widowControl/>
              <w:numPr>
                <w:ilvl w:val="0"/>
                <w:numId w:val="10"/>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auto"/>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提供光伏电缆招投标技术要求指导</w:t>
            </w:r>
            <w:r>
              <w:rPr>
                <w:rFonts w:hint="default" w:ascii="Times New Roman Regular" w:hAnsi="Times New Roman Regular" w:eastAsia="宋体" w:cs="Times New Roman Regular"/>
                <w:sz w:val="18"/>
                <w:szCs w:val="18"/>
                <w:lang w:eastAsia="zh-CN"/>
              </w:rPr>
              <w:t>。</w:t>
            </w:r>
          </w:p>
        </w:tc>
      </w:tr>
      <w:tr w14:paraId="74A2CA96">
        <w:trPr>
          <w:trHeight w:val="510" w:hRule="atLeast"/>
          <w:jc w:val="center"/>
        </w:trPr>
        <w:tc>
          <w:tcPr>
            <w:tcW w:w="3107" w:type="pct"/>
            <w:tcBorders>
              <w:tl2br w:val="nil"/>
              <w:tr2bl w:val="nil"/>
            </w:tcBorders>
            <w:shd w:val="clear" w:color="auto" w:fill="auto"/>
            <w:noWrap/>
            <w:vAlign w:val="center"/>
          </w:tcPr>
          <w:p w14:paraId="1170AFED">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华能能源交通产业控股有限公司（中国华能集团有限公司物资供应中心）、中国水利电力物资集团有限公司、中国电能成套设备有限公司、国家能源集团物资有限公司、华能招标有限公司、国家能源集团国际工程咨询有限公司、华电海南物资有限公司、华能能源交通产业控股有限公司北京分公司、中国水利电力物资上海有限公司、电能（北京）认证中心有限公司、国能诚信招标有限公司、北京国电工程招标有限公司、国能龙源电力技术工程有限责任公司。</w:t>
            </w:r>
          </w:p>
        </w:tc>
        <w:tc>
          <w:tcPr>
            <w:tcW w:w="1892" w:type="pct"/>
            <w:tcBorders>
              <w:tl2br w:val="nil"/>
              <w:tr2bl w:val="nil"/>
            </w:tcBorders>
            <w:shd w:val="clear" w:color="auto" w:fill="auto"/>
            <w:noWrap/>
            <w:vAlign w:val="center"/>
          </w:tcPr>
          <w:p w14:paraId="592630C5">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eastAsia="zh-CN"/>
              </w:rPr>
            </w:pPr>
            <w:r>
              <w:rPr>
                <w:rFonts w:hint="default" w:ascii="Times New Roman Regular" w:hAnsi="Times New Roman Regular" w:eastAsia="宋体" w:cs="Times New Roman Regular"/>
                <w:sz w:val="18"/>
                <w:szCs w:val="18"/>
              </w:rPr>
              <w:t>提供</w:t>
            </w:r>
            <w:r>
              <w:rPr>
                <w:rFonts w:hint="default" w:ascii="Times New Roman Regular" w:hAnsi="Times New Roman Regular" w:eastAsia="宋体" w:cs="Times New Roman Regular"/>
                <w:sz w:val="18"/>
                <w:szCs w:val="18"/>
                <w:lang w:val="en-US" w:eastAsia="zh-CN"/>
              </w:rPr>
              <w:t>光伏电缆招投标技术要求指导</w:t>
            </w:r>
            <w:r>
              <w:rPr>
                <w:rFonts w:hint="default" w:ascii="Times New Roman Regular" w:hAnsi="Times New Roman Regular" w:eastAsia="宋体" w:cs="Times New Roman Regular"/>
                <w:sz w:val="18"/>
                <w:szCs w:val="18"/>
                <w:lang w:eastAsia="zh-CN"/>
              </w:rPr>
              <w:t>；</w:t>
            </w:r>
          </w:p>
          <w:p w14:paraId="7F20895A">
            <w:pPr>
              <w:keepNext w:val="0"/>
              <w:keepLines w:val="0"/>
              <w:pageBreakBefore w:val="0"/>
              <w:widowControl/>
              <w:numPr>
                <w:ilvl w:val="0"/>
                <w:numId w:val="11"/>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44D75400">
        <w:trPr>
          <w:trHeight w:val="510" w:hRule="atLeast"/>
          <w:jc w:val="center"/>
        </w:trPr>
        <w:tc>
          <w:tcPr>
            <w:tcW w:w="3107" w:type="pct"/>
            <w:tcBorders>
              <w:tl2br w:val="nil"/>
              <w:tr2bl w:val="nil"/>
            </w:tcBorders>
            <w:shd w:val="clear" w:color="auto" w:fill="auto"/>
            <w:noWrap/>
            <w:vAlign w:val="center"/>
          </w:tcPr>
          <w:p w14:paraId="1110C34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中国能源建设集团电子商务有限公司、中国广核集团有限公司、中国广核新能源控股有限公司、中核（上海）供应链管理有限公司、华润电力投资有限公司、长江三峡（成都）电子商务有限公司、中投咨询有限公司、中国节能环保集团有限公司绿色供应链管理服务分公司、内蒙古能源集团有限公司、北京京能招标集采中心有限责任公司、上海宝华国际招标有限公司、中煤能源供应链管理（北京）有限责任公司、中国海洋石油集团有限公司、中石化国际事业北京有限公司</w:t>
            </w:r>
          </w:p>
        </w:tc>
        <w:tc>
          <w:tcPr>
            <w:tcW w:w="1892" w:type="pct"/>
            <w:tcBorders>
              <w:tl2br w:val="nil"/>
              <w:tr2bl w:val="nil"/>
            </w:tcBorders>
            <w:shd w:val="clear" w:color="auto" w:fill="auto"/>
            <w:noWrap/>
            <w:vAlign w:val="center"/>
          </w:tcPr>
          <w:p w14:paraId="70D0361D">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4F97B80E">
            <w:pPr>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ABE3678">
        <w:trPr>
          <w:trHeight w:val="510" w:hRule="atLeast"/>
          <w:jc w:val="center"/>
        </w:trPr>
        <w:tc>
          <w:tcPr>
            <w:tcW w:w="3107" w:type="pct"/>
            <w:tcBorders>
              <w:tl2br w:val="nil"/>
              <w:tr2bl w:val="nil"/>
            </w:tcBorders>
            <w:shd w:val="clear" w:color="auto" w:fill="auto"/>
            <w:noWrap/>
            <w:vAlign w:val="center"/>
          </w:tcPr>
          <w:p w14:paraId="5FCB8E04">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国核电力规划设计研究院有限公司、上海勘测设计研究院有限公司、四川电力设计咨询有限责任公司、中国电建集团华东勘测设计研究院有限公司、中国电建集团河南省电力勘测设计院有限公司、中水东北勘测设计研究有限责任公司、龙源（北京）新能源工程设计研究院有限公司、深圳市建筑设计研究总院有限公司合肥分院、安徽省城建设计研究总院股份有限公司、合肥工业大学设计院（集团）有限公司</w:t>
            </w:r>
          </w:p>
        </w:tc>
        <w:tc>
          <w:tcPr>
            <w:tcW w:w="1892" w:type="pct"/>
            <w:tcBorders>
              <w:tl2br w:val="nil"/>
              <w:tr2bl w:val="nil"/>
            </w:tcBorders>
            <w:shd w:val="clear" w:color="auto" w:fill="auto"/>
            <w:noWrap/>
            <w:vAlign w:val="center"/>
          </w:tcPr>
          <w:p w14:paraId="278B44B0">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5C84699C">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3F4D880E">
        <w:trPr>
          <w:trHeight w:val="510" w:hRule="atLeast"/>
          <w:jc w:val="center"/>
        </w:trPr>
        <w:tc>
          <w:tcPr>
            <w:tcW w:w="3107" w:type="pct"/>
            <w:tcBorders>
              <w:tl2br w:val="nil"/>
              <w:tr2bl w:val="nil"/>
            </w:tcBorders>
            <w:shd w:val="clear" w:color="auto" w:fill="auto"/>
            <w:noWrap/>
            <w:vAlign w:val="center"/>
          </w:tcPr>
          <w:p w14:paraId="29BF835E">
            <w:pPr>
              <w:keepNext w:val="0"/>
              <w:keepLines w:val="0"/>
              <w:pageBreakBefore w:val="0"/>
              <w:widowControl/>
              <w:suppressLineNumbers w:val="0"/>
              <w:kinsoku/>
              <w:wordWrap/>
              <w:overflowPunct/>
              <w:topLinePunct w:val="0"/>
              <w:autoSpaceDE/>
              <w:autoSpaceDN/>
              <w:bidi w:val="0"/>
              <w:adjustRightInd/>
              <w:snapToGrid/>
              <w:spacing w:before="79" w:beforeLines="25" w:beforeAutospacing="0" w:after="79" w:afterLines="25"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国信云联数据科技股份有限公司、中国质量认证中心有限公司、中国电力科学研究院有限公司武汉分院、武汉产品质量监督检验所[国家电线电缆产品质量检验检测中心（武汉）]、安徽宇测技术有限公司[国家特种电线电缆产品质量检验检测中心（安徽）]、中正智信检验认证股份有限公司、莱茵检测认证服务（中国）有限公司</w:t>
            </w:r>
          </w:p>
        </w:tc>
        <w:tc>
          <w:tcPr>
            <w:tcW w:w="1892" w:type="pct"/>
            <w:tcBorders>
              <w:tl2br w:val="nil"/>
              <w:tr2bl w:val="nil"/>
            </w:tcBorders>
            <w:shd w:val="clear" w:color="auto" w:fill="auto"/>
            <w:noWrap/>
            <w:vAlign w:val="center"/>
          </w:tcPr>
          <w:p w14:paraId="792E461B">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sz w:val="18"/>
                <w:szCs w:val="18"/>
                <w:lang w:val="en-US" w:eastAsia="zh-CN"/>
              </w:rPr>
            </w:pPr>
            <w:r>
              <w:rPr>
                <w:rFonts w:hint="default" w:ascii="Times New Roman Regular" w:hAnsi="Times New Roman Regular" w:eastAsia="宋体" w:cs="Times New Roman Regular"/>
                <w:color w:val="000000"/>
                <w:sz w:val="18"/>
                <w:szCs w:val="18"/>
              </w:rPr>
              <w:t>归纳</w:t>
            </w:r>
            <w:r>
              <w:rPr>
                <w:rFonts w:hint="default" w:ascii="Times New Roman Regular" w:hAnsi="Times New Roman Regular" w:eastAsia="宋体" w:cs="Times New Roman Regular"/>
                <w:color w:val="000000"/>
                <w:sz w:val="18"/>
                <w:szCs w:val="18"/>
                <w:lang w:eastAsia="zh-CN"/>
              </w:rPr>
              <w:t>、</w:t>
            </w:r>
            <w:r>
              <w:rPr>
                <w:rFonts w:hint="default" w:ascii="Times New Roman Regular" w:hAnsi="Times New Roman Regular" w:eastAsia="宋体" w:cs="Times New Roman Regular"/>
                <w:color w:val="000000"/>
                <w:sz w:val="18"/>
                <w:szCs w:val="18"/>
                <w:lang w:val="en-US" w:eastAsia="zh-CN"/>
              </w:rPr>
              <w:t>总结意见和建议；</w:t>
            </w:r>
          </w:p>
          <w:p w14:paraId="0CB86FF6">
            <w:pPr>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color w:val="000000"/>
                <w:kern w:val="0"/>
                <w:sz w:val="18"/>
                <w:szCs w:val="18"/>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r w14:paraId="180844D4">
        <w:trPr>
          <w:trHeight w:val="510" w:hRule="atLeast"/>
          <w:jc w:val="center"/>
        </w:trPr>
        <w:tc>
          <w:tcPr>
            <w:tcW w:w="3107" w:type="pct"/>
            <w:tcBorders>
              <w:tl2br w:val="nil"/>
              <w:tr2bl w:val="nil"/>
            </w:tcBorders>
            <w:shd w:val="clear" w:color="auto" w:fill="auto"/>
            <w:noWrap/>
            <w:vAlign w:val="center"/>
          </w:tcPr>
          <w:p w14:paraId="2BB964A2">
            <w:pPr>
              <w:keepNext w:val="0"/>
              <w:keepLines w:val="0"/>
              <w:widowControl/>
              <w:suppressLineNumbers w:val="0"/>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浙江元通线缆制造有限公司</w:t>
            </w:r>
            <w:r>
              <w:rPr>
                <w:rFonts w:hint="eastAsia" w:ascii="Times New Roman Regular" w:hAnsi="Times New Roman Regular" w:eastAsia="宋体" w:cs="Times New Roman Regular"/>
                <w:sz w:val="18"/>
                <w:szCs w:val="18"/>
                <w:lang w:val="en-US" w:eastAsia="zh-CN"/>
              </w:rPr>
              <w:t>、江苏亨通电力电缆有限公司、浙江晨光电缆股份有限公司</w:t>
            </w:r>
            <w:bookmarkStart w:id="245" w:name="_GoBack"/>
            <w:bookmarkEnd w:id="245"/>
          </w:p>
        </w:tc>
        <w:tc>
          <w:tcPr>
            <w:tcW w:w="1892" w:type="pct"/>
            <w:tcBorders>
              <w:tl2br w:val="nil"/>
              <w:tr2bl w:val="nil"/>
            </w:tcBorders>
            <w:shd w:val="clear" w:color="auto" w:fill="auto"/>
            <w:noWrap/>
            <w:vAlign w:val="center"/>
          </w:tcPr>
          <w:p w14:paraId="5F0A16C0">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提供技术内容指导；</w:t>
            </w:r>
          </w:p>
          <w:p w14:paraId="27C3660D">
            <w:pPr>
              <w:keepNext w:val="0"/>
              <w:keepLines w:val="0"/>
              <w:pageBreakBefore w:val="0"/>
              <w:widowControl/>
              <w:numPr>
                <w:ilvl w:val="0"/>
                <w:numId w:val="15"/>
              </w:numPr>
              <w:suppressLineNumbers w:val="0"/>
              <w:kinsoku/>
              <w:wordWrap/>
              <w:overflowPunct/>
              <w:topLinePunct w:val="0"/>
              <w:autoSpaceDE/>
              <w:autoSpaceDN/>
              <w:bidi w:val="0"/>
              <w:adjustRightInd/>
              <w:snapToGrid/>
              <w:spacing w:before="0" w:beforeLines="0" w:beforeAutospacing="0" w:after="0" w:afterLines="0" w:afterAutospacing="0" w:line="288" w:lineRule="auto"/>
              <w:ind w:left="0" w:right="0"/>
              <w:jc w:val="left"/>
              <w:textAlignment w:val="center"/>
              <w:rPr>
                <w:rFonts w:hint="default" w:ascii="Times New Roman Regular" w:hAnsi="Times New Roman Regular" w:eastAsia="宋体" w:cs="Times New Roman Regular"/>
                <w:sz w:val="18"/>
                <w:szCs w:val="18"/>
                <w:lang w:val="en-US" w:eastAsia="zh-CN"/>
              </w:rPr>
            </w:pPr>
            <w:r>
              <w:rPr>
                <w:rFonts w:hint="default" w:ascii="Times New Roman Regular" w:hAnsi="Times New Roman Regular" w:eastAsia="宋体" w:cs="Times New Roman Regular"/>
                <w:sz w:val="18"/>
                <w:szCs w:val="18"/>
                <w:lang w:val="en-US" w:eastAsia="zh-CN"/>
              </w:rPr>
              <w:t>编制审议</w:t>
            </w:r>
            <w:r>
              <w:rPr>
                <w:rFonts w:hint="default" w:ascii="Times New Roman Regular" w:hAnsi="Times New Roman Regular" w:eastAsia="宋体" w:cs="Times New Roman Regular"/>
                <w:sz w:val="18"/>
                <w:szCs w:val="18"/>
              </w:rPr>
              <w:t>。</w:t>
            </w:r>
          </w:p>
        </w:tc>
      </w:tr>
    </w:tbl>
    <w:p w14:paraId="77E6EDB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kern w:val="2"/>
          <w:sz w:val="21"/>
          <w:szCs w:val="21"/>
          <w:lang w:val="en-US" w:eastAsia="zh-CN"/>
        </w:rPr>
        <w:t>2024年</w:t>
      </w:r>
      <w:r>
        <w:rPr>
          <w:rFonts w:hint="eastAsia" w:ascii="Times New Roman Regular" w:hAnsi="Times New Roman Regular" w:eastAsia="宋体" w:cs="Times New Roman Regular"/>
          <w:kern w:val="2"/>
          <w:sz w:val="21"/>
          <w:szCs w:val="21"/>
          <w:lang w:val="en-US" w:eastAsia="zh-CN"/>
        </w:rPr>
        <w:t>9</w:t>
      </w:r>
      <w:r>
        <w:rPr>
          <w:rFonts w:hint="default" w:ascii="Times New Roman Regular" w:hAnsi="Times New Roman Regular" w:eastAsia="宋体" w:cs="Times New Roman Regular"/>
          <w:kern w:val="2"/>
          <w:sz w:val="21"/>
          <w:szCs w:val="21"/>
          <w:lang w:val="en-US" w:eastAsia="zh-CN"/>
        </w:rPr>
        <w:t>月</w:t>
      </w:r>
      <w:r>
        <w:rPr>
          <w:rFonts w:hint="eastAsia" w:ascii="Times New Roman Regular" w:hAnsi="Times New Roman Regular" w:eastAsia="宋体" w:cs="Times New Roman Regular"/>
          <w:kern w:val="2"/>
          <w:sz w:val="21"/>
          <w:szCs w:val="21"/>
          <w:lang w:val="en-US" w:eastAsia="zh-CN"/>
        </w:rPr>
        <w:t>至10月</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根据五大发电集团、设计院、制造企业和检测机构等单位</w:t>
      </w:r>
      <w:r>
        <w:rPr>
          <w:rFonts w:hint="default" w:ascii="Times New Roman Regular" w:hAnsi="Times New Roman Regular" w:eastAsia="宋体" w:cs="Times New Roman Regular"/>
          <w:kern w:val="2"/>
          <w:sz w:val="21"/>
          <w:szCs w:val="21"/>
        </w:rPr>
        <w:t>调研反馈结果</w:t>
      </w:r>
      <w:r>
        <w:rPr>
          <w:rFonts w:hint="default" w:ascii="Times New Roman Regular" w:hAnsi="Times New Roman Regular" w:eastAsia="宋体" w:cs="Times New Roman Regular"/>
          <w:sz w:val="21"/>
          <w:szCs w:val="21"/>
        </w:rPr>
        <w:t>，</w:t>
      </w:r>
      <w:bookmarkStart w:id="72" w:name="_Hlk135919098"/>
      <w:r>
        <w:rPr>
          <w:rFonts w:hint="default" w:ascii="Times New Roman Regular" w:hAnsi="Times New Roman Regular" w:eastAsia="宋体" w:cs="Times New Roman Regular"/>
          <w:sz w:val="21"/>
          <w:szCs w:val="21"/>
        </w:rPr>
        <w:t>对</w:t>
      </w:r>
      <w:r>
        <w:rPr>
          <w:rFonts w:hint="eastAsia" w:ascii="Times New Roman Regular" w:hAnsi="Times New Roman Regular" w:eastAsia="宋体" w:cs="Times New Roman Regular"/>
          <w:sz w:val="21"/>
          <w:szCs w:val="21"/>
          <w:lang w:val="en-US" w:eastAsia="zh-CN"/>
        </w:rPr>
        <w:t>高压电力</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应具备的一般要求、技术要求、</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要求进行归纳，完成</w:t>
      </w:r>
      <w:r>
        <w:rPr>
          <w:rFonts w:hint="eastAsia"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工作组讨论稿》（V1.0）</w:t>
      </w:r>
      <w:r>
        <w:rPr>
          <w:rFonts w:hint="default" w:ascii="Times New Roman Regular" w:hAnsi="Times New Roman Regular" w:eastAsia="宋体" w:cs="Times New Roman Regular"/>
          <w:sz w:val="21"/>
          <w:szCs w:val="21"/>
        </w:rPr>
        <w:t>。</w:t>
      </w:r>
    </w:p>
    <w:bookmarkEnd w:id="72"/>
    <w:p w14:paraId="7D706CBE">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eastAsia" w:ascii="Times New Roman Regular" w:hAnsi="Times New Roman Regular" w:eastAsia="宋体" w:cs="Times New Roman Regular"/>
          <w:b w:val="0"/>
          <w:kern w:val="2"/>
          <w:sz w:val="21"/>
          <w:szCs w:val="21"/>
          <w:lang w:val="en-US" w:eastAsia="zh-CN"/>
        </w:rPr>
      </w:pPr>
      <w:r>
        <w:rPr>
          <w:rFonts w:hint="default" w:ascii="Times New Roman Regular" w:hAnsi="Times New Roman Regular" w:eastAsia="宋体" w:cs="Times New Roman Regular"/>
          <w:b w:val="0"/>
          <w:kern w:val="2"/>
          <w:sz w:val="21"/>
          <w:szCs w:val="21"/>
        </w:rPr>
        <w:t>202</w:t>
      </w:r>
      <w:r>
        <w:rPr>
          <w:rFonts w:hint="default" w:ascii="Times New Roman Regular" w:hAnsi="Times New Roman Regular" w:eastAsia="宋体" w:cs="Times New Roman Regular"/>
          <w:b w:val="0"/>
          <w:kern w:val="2"/>
          <w:sz w:val="21"/>
          <w:szCs w:val="21"/>
          <w:lang w:val="en-US" w:eastAsia="zh-CN"/>
        </w:rPr>
        <w:t>4</w:t>
      </w:r>
      <w:r>
        <w:rPr>
          <w:rFonts w:hint="default" w:ascii="Times New Roman Regular" w:hAnsi="Times New Roman Regular" w:eastAsia="宋体" w:cs="Times New Roman Regular"/>
          <w:b w:val="0"/>
          <w:kern w:val="2"/>
          <w:sz w:val="21"/>
          <w:szCs w:val="21"/>
        </w:rPr>
        <w:t>年</w:t>
      </w:r>
      <w:r>
        <w:rPr>
          <w:rFonts w:hint="eastAsia" w:ascii="Times New Roman Regular" w:hAnsi="Times New Roman Regular" w:eastAsia="宋体" w:cs="Times New Roman Regular"/>
          <w:b w:val="0"/>
          <w:kern w:val="2"/>
          <w:sz w:val="21"/>
          <w:szCs w:val="21"/>
          <w:lang w:val="en-US" w:eastAsia="zh-CN"/>
        </w:rPr>
        <w:t>10</w:t>
      </w:r>
      <w:r>
        <w:rPr>
          <w:rFonts w:hint="default" w:ascii="Times New Roman Regular" w:hAnsi="Times New Roman Regular" w:eastAsia="宋体" w:cs="Times New Roman Regular"/>
          <w:b w:val="0"/>
          <w:kern w:val="2"/>
          <w:sz w:val="21"/>
          <w:szCs w:val="21"/>
        </w:rPr>
        <w:t>月</w:t>
      </w:r>
      <w:r>
        <w:rPr>
          <w:rFonts w:hint="eastAsia" w:ascii="Times New Roman Regular" w:hAnsi="Times New Roman Regular" w:eastAsia="宋体" w:cs="Times New Roman Regular"/>
          <w:b w:val="0"/>
          <w:kern w:val="2"/>
          <w:sz w:val="21"/>
          <w:szCs w:val="21"/>
          <w:lang w:val="en-US" w:eastAsia="zh-CN"/>
        </w:rPr>
        <w:t>15日，召开《发电企业电线电缆采购技术规范 第13部分：</w:t>
      </w:r>
      <w:r>
        <w:rPr>
          <w:rFonts w:hint="eastAsia" w:ascii="Times New Roman Regular" w:hAnsi="Times New Roman Regular" w:eastAsia="宋体" w:cs="Times New Roman Regular"/>
          <w:b w:val="0"/>
          <w:sz w:val="21"/>
          <w:szCs w:val="21"/>
          <w:lang w:val="en-US" w:eastAsia="zh-CN"/>
        </w:rPr>
        <w:t>风力发电用耐扭曲软</w:t>
      </w:r>
      <w:r>
        <w:rPr>
          <w:rFonts w:hint="default" w:ascii="Times New Roman Regular" w:hAnsi="Times New Roman Regular" w:eastAsia="宋体" w:cs="Times New Roman Regular"/>
          <w:b w:val="0"/>
          <w:sz w:val="21"/>
          <w:szCs w:val="21"/>
          <w:lang w:val="en-US" w:eastAsia="zh-CN"/>
        </w:rPr>
        <w:t>电缆</w:t>
      </w:r>
      <w:r>
        <w:rPr>
          <w:rFonts w:hint="eastAsia" w:ascii="Times New Roman Regular" w:hAnsi="Times New Roman Regular" w:eastAsia="宋体" w:cs="Times New Roman Regular"/>
          <w:b w:val="0"/>
          <w:bCs w:val="0"/>
          <w:sz w:val="21"/>
          <w:szCs w:val="21"/>
          <w:lang w:val="en-US" w:eastAsia="zh-CN"/>
        </w:rPr>
        <w:t>（35kV及以下）</w:t>
      </w:r>
      <w:r>
        <w:rPr>
          <w:rFonts w:hint="eastAsia" w:ascii="Times New Roman Regular" w:hAnsi="Times New Roman Regular" w:eastAsia="宋体" w:cs="Times New Roman Regular"/>
          <w:b w:val="0"/>
          <w:kern w:val="2"/>
          <w:sz w:val="21"/>
          <w:szCs w:val="21"/>
          <w:lang w:val="en-US" w:eastAsia="zh-CN"/>
        </w:rPr>
        <w:t>》第一次编制工作会，审议《工作组讨论稿》</w:t>
      </w:r>
      <w:r>
        <w:rPr>
          <w:rFonts w:hint="eastAsia" w:ascii="Times New Roman Regular" w:hAnsi="Times New Roman Regular" w:eastAsia="宋体" w:cs="Times New Roman Regular"/>
          <w:sz w:val="21"/>
          <w:szCs w:val="21"/>
          <w:lang w:val="en-US" w:eastAsia="zh-CN"/>
        </w:rPr>
        <w:t>（V1.0）</w:t>
      </w:r>
      <w:r>
        <w:rPr>
          <w:rFonts w:hint="eastAsia" w:ascii="Times New Roman Regular" w:hAnsi="Times New Roman Regular" w:eastAsia="宋体" w:cs="Times New Roman Regular"/>
          <w:b w:val="0"/>
          <w:kern w:val="2"/>
          <w:sz w:val="21"/>
          <w:szCs w:val="21"/>
          <w:lang w:val="en-US" w:eastAsia="zh-CN"/>
        </w:rPr>
        <w:t>。</w:t>
      </w:r>
    </w:p>
    <w:p w14:paraId="73ADC946">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rPr>
      </w:pPr>
      <w:r>
        <w:rPr>
          <w:rFonts w:hint="default" w:ascii="Times New Roman Regular" w:hAnsi="Times New Roman Regular" w:eastAsia="宋体" w:cs="Times New Roman Regular"/>
          <w:kern w:val="2"/>
          <w:sz w:val="21"/>
          <w:szCs w:val="21"/>
        </w:rPr>
        <w:t>202</w:t>
      </w:r>
      <w:r>
        <w:rPr>
          <w:rFonts w:hint="default" w:ascii="Times New Roman Regular" w:hAnsi="Times New Roman Regular" w:eastAsia="宋体" w:cs="Times New Roman Regular"/>
          <w:kern w:val="2"/>
          <w:sz w:val="21"/>
          <w:szCs w:val="21"/>
          <w:lang w:val="en-US" w:eastAsia="zh-CN"/>
        </w:rPr>
        <w:t>4</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11月—2025年</w:t>
      </w:r>
      <w:r>
        <w:rPr>
          <w:rFonts w:hint="default" w:ascii="Times New Roman Regular" w:hAnsi="Times New Roman Regular" w:eastAsia="宋体" w:cs="Times New Roman Regular"/>
          <w:kern w:val="2"/>
          <w:sz w:val="21"/>
          <w:szCs w:val="21"/>
          <w:lang w:val="en-US" w:eastAsia="zh-CN"/>
        </w:rPr>
        <w:t>2</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编制组根据第一次编制工作会意见进行修订</w:t>
      </w:r>
      <w:r>
        <w:rPr>
          <w:rFonts w:hint="default" w:ascii="Times New Roman Regular" w:hAnsi="Times New Roman Regular" w:eastAsia="宋体" w:cs="Times New Roman Regular"/>
          <w:kern w:val="2"/>
          <w:sz w:val="21"/>
          <w:szCs w:val="21"/>
        </w:rPr>
        <w:t>，</w:t>
      </w:r>
      <w:r>
        <w:rPr>
          <w:rFonts w:hint="default" w:ascii="Times New Roman Regular" w:hAnsi="Times New Roman Regular" w:eastAsia="宋体" w:cs="Times New Roman Regular"/>
          <w:kern w:val="2"/>
          <w:sz w:val="21"/>
          <w:szCs w:val="21"/>
          <w:lang w:val="en-US" w:eastAsia="zh-CN"/>
        </w:rPr>
        <w:t>形成</w:t>
      </w:r>
      <w:r>
        <w:rPr>
          <w:rFonts w:hint="default" w:ascii="Times New Roman Regular" w:hAnsi="Times New Roman Regular" w:eastAsia="宋体" w:cs="Times New Roman Regular"/>
          <w:sz w:val="21"/>
          <w:szCs w:val="21"/>
          <w:lang w:eastAsia="zh-CN"/>
        </w:rPr>
        <w:t>《</w:t>
      </w:r>
      <w:r>
        <w:rPr>
          <w:rFonts w:hint="eastAsia" w:ascii="Times New Roman Regular" w:hAnsi="Times New Roman Regular" w:eastAsia="宋体" w:cs="Times New Roman Regular"/>
          <w:sz w:val="21"/>
          <w:szCs w:val="21"/>
          <w:lang w:val="en-US" w:eastAsia="zh-CN"/>
        </w:rPr>
        <w:t>工作组讨论稿</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（V2.0）</w:t>
      </w:r>
      <w:r>
        <w:rPr>
          <w:rFonts w:hint="default" w:ascii="Times New Roman Regular" w:hAnsi="Times New Roman Regular" w:eastAsia="宋体" w:cs="Times New Roman Regular"/>
          <w:kern w:val="2"/>
          <w:sz w:val="21"/>
          <w:szCs w:val="21"/>
        </w:rPr>
        <w:t>。</w:t>
      </w:r>
    </w:p>
    <w:p w14:paraId="346B29AA">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3—9</w:t>
      </w:r>
      <w:r>
        <w:rPr>
          <w:rFonts w:hint="default" w:ascii="Times New Roman Regular" w:hAnsi="Times New Roman Regular" w:eastAsia="宋体" w:cs="Times New Roman Regular"/>
          <w:kern w:val="2"/>
          <w:sz w:val="21"/>
          <w:szCs w:val="21"/>
        </w:rPr>
        <w:t>月，</w:t>
      </w:r>
      <w:r>
        <w:rPr>
          <w:rFonts w:hint="eastAsia" w:ascii="Times New Roman Regular" w:hAnsi="Times New Roman Regular" w:eastAsia="宋体" w:cs="Times New Roman Regular"/>
          <w:kern w:val="2"/>
          <w:sz w:val="21"/>
          <w:szCs w:val="21"/>
          <w:lang w:val="en-US" w:eastAsia="zh-CN"/>
        </w:rPr>
        <w:t>编制组就《工作组讨论稿》</w:t>
      </w:r>
      <w:r>
        <w:rPr>
          <w:rFonts w:hint="eastAsia" w:ascii="Times New Roman Regular" w:hAnsi="Times New Roman Regular" w:eastAsia="宋体" w:cs="Times New Roman Regular"/>
          <w:sz w:val="21"/>
          <w:szCs w:val="21"/>
          <w:lang w:val="en-US" w:eastAsia="zh-CN"/>
        </w:rPr>
        <w:t>（V2.0）</w:t>
      </w:r>
      <w:r>
        <w:rPr>
          <w:rFonts w:hint="eastAsia" w:ascii="Times New Roman Regular" w:hAnsi="Times New Roman Regular" w:eastAsia="宋体" w:cs="Times New Roman Regular"/>
          <w:kern w:val="2"/>
          <w:sz w:val="21"/>
          <w:szCs w:val="21"/>
          <w:lang w:val="en-US" w:eastAsia="zh-CN"/>
        </w:rPr>
        <w:t>广泛征求终端采购单位、设计院、制造企业和检测机构意见，修订完成《征求意见稿》。</w:t>
      </w:r>
    </w:p>
    <w:p w14:paraId="5FB151CC">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kern w:val="2"/>
          <w:sz w:val="21"/>
          <w:szCs w:val="21"/>
          <w:lang w:val="en-US" w:eastAsia="zh-CN"/>
        </w:rPr>
      </w:pPr>
      <w:r>
        <w:rPr>
          <w:rFonts w:hint="default" w:ascii="Times New Roman Regular" w:hAnsi="Times New Roman Regular" w:eastAsia="宋体" w:cs="Times New Roman Regular"/>
          <w:kern w:val="2"/>
          <w:sz w:val="21"/>
          <w:szCs w:val="21"/>
        </w:rPr>
        <w:t>202</w:t>
      </w:r>
      <w:r>
        <w:rPr>
          <w:rFonts w:hint="eastAsia" w:ascii="Times New Roman Regular" w:hAnsi="Times New Roman Regular" w:eastAsia="宋体" w:cs="Times New Roman Regular"/>
          <w:kern w:val="2"/>
          <w:sz w:val="21"/>
          <w:szCs w:val="21"/>
          <w:lang w:val="en-US" w:eastAsia="zh-CN"/>
        </w:rPr>
        <w:t>5</w:t>
      </w:r>
      <w:r>
        <w:rPr>
          <w:rFonts w:hint="default" w:ascii="Times New Roman Regular" w:hAnsi="Times New Roman Regular" w:eastAsia="宋体" w:cs="Times New Roman Regular"/>
          <w:kern w:val="2"/>
          <w:sz w:val="21"/>
          <w:szCs w:val="21"/>
        </w:rPr>
        <w:t>年</w:t>
      </w:r>
      <w:r>
        <w:rPr>
          <w:rFonts w:hint="eastAsia" w:ascii="Times New Roman Regular" w:hAnsi="Times New Roman Regular" w:eastAsia="宋体" w:cs="Times New Roman Regular"/>
          <w:kern w:val="2"/>
          <w:sz w:val="21"/>
          <w:szCs w:val="21"/>
          <w:lang w:val="en-US" w:eastAsia="zh-CN"/>
        </w:rPr>
        <w:t>10</w:t>
      </w:r>
      <w:r>
        <w:rPr>
          <w:rFonts w:hint="default" w:ascii="Times New Roman Regular" w:hAnsi="Times New Roman Regular" w:eastAsia="宋体" w:cs="Times New Roman Regular"/>
          <w:kern w:val="2"/>
          <w:sz w:val="21"/>
          <w:szCs w:val="21"/>
        </w:rPr>
        <w:t>月</w:t>
      </w:r>
      <w:r>
        <w:rPr>
          <w:rFonts w:hint="default" w:ascii="Times New Roman Regular" w:hAnsi="Times New Roman Regular" w:eastAsia="宋体" w:cs="Times New Roman Regular"/>
          <w:kern w:val="2"/>
          <w:sz w:val="21"/>
          <w:szCs w:val="21"/>
          <w:lang w:val="en-US" w:eastAsia="zh-CN"/>
        </w:rPr>
        <w:t>，发布征求意见</w:t>
      </w:r>
      <w:r>
        <w:rPr>
          <w:rFonts w:hint="eastAsia" w:ascii="Times New Roman Regular" w:hAnsi="Times New Roman Regular" w:eastAsia="宋体" w:cs="Times New Roman Regular"/>
          <w:kern w:val="2"/>
          <w:sz w:val="21"/>
          <w:szCs w:val="21"/>
          <w:lang w:val="en-US" w:eastAsia="zh-CN"/>
        </w:rPr>
        <w:t>稿</w:t>
      </w:r>
      <w:r>
        <w:rPr>
          <w:rFonts w:hint="default" w:ascii="Times New Roman Regular" w:hAnsi="Times New Roman Regular" w:eastAsia="宋体" w:cs="Times New Roman Regular"/>
          <w:kern w:val="2"/>
          <w:sz w:val="21"/>
          <w:szCs w:val="21"/>
          <w:lang w:val="en-US" w:eastAsia="zh-CN"/>
        </w:rPr>
        <w:t>，面向社会公开征求意见。</w:t>
      </w:r>
    </w:p>
    <w:p w14:paraId="0E795D48">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73" w:name="_Toc16201"/>
      <w:bookmarkStart w:id="74" w:name="_Toc941805515"/>
      <w:bookmarkStart w:id="75" w:name="_Toc25549"/>
      <w:bookmarkStart w:id="76" w:name="_Toc31694"/>
      <w:bookmarkStart w:id="77" w:name="_Toc18777"/>
      <w:bookmarkStart w:id="78" w:name="_Toc31329"/>
      <w:bookmarkStart w:id="79" w:name="_Toc17840"/>
      <w:bookmarkStart w:id="80" w:name="_Toc22777"/>
      <w:bookmarkStart w:id="81" w:name="_Toc1523942615"/>
      <w:bookmarkStart w:id="82" w:name="_Toc1482"/>
      <w:bookmarkStart w:id="83" w:name="_Toc1326"/>
      <w:bookmarkStart w:id="84" w:name="_Toc17271"/>
      <w:bookmarkStart w:id="85" w:name="_Toc17300"/>
      <w:bookmarkStart w:id="86" w:name="_Toc21766"/>
      <w:r>
        <w:rPr>
          <w:rFonts w:hint="eastAsia" w:ascii="黑体" w:hAnsi="黑体" w:eastAsia="黑体" w:cs="黑体"/>
          <w:b w:val="0"/>
          <w:bCs/>
          <w:sz w:val="28"/>
          <w:szCs w:val="28"/>
          <w:lang w:val="en-US" w:eastAsia="zh-CN"/>
        </w:rPr>
        <w:t>关于标准名称</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8E6F663">
      <w:pPr>
        <w:pStyle w:val="18"/>
        <w:pageBreakBefore w:val="0"/>
        <w:kinsoku/>
        <w:wordWrap/>
        <w:overflowPunct/>
        <w:topLinePunct w:val="0"/>
        <w:autoSpaceDE/>
        <w:autoSpaceDN/>
        <w:bidi w:val="0"/>
        <w:spacing w:before="157" w:beforeLines="50" w:beforeAutospacing="0" w:after="157" w:afterLines="50" w:afterAutospacing="0" w:line="360" w:lineRule="auto"/>
        <w:ind w:firstLine="482"/>
        <w:jc w:val="both"/>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在标准编制征求意见过程中，多家单位及专家反馈，本标准所规定的电线电缆采购技术要求、性能指标、检验规则、验收方法等核心内容，均具有跨行业、跨领域的普遍适用性。原标准名称中“发电企业”“煤矿企业”的限定在一定程度上缩小了标准的适用领域。</w:t>
      </w:r>
      <w:r>
        <w:rPr>
          <w:rFonts w:hint="eastAsia" w:ascii="Times New Roman Regular" w:hAnsi="Times New Roman Regular" w:eastAsia="宋体" w:cs="Times New Roman Regular"/>
          <w:sz w:val="21"/>
          <w:szCs w:val="21"/>
          <w:lang w:val="en-US" w:eastAsia="zh-CN"/>
        </w:rPr>
        <w:t>建议</w:t>
      </w:r>
      <w:r>
        <w:rPr>
          <w:rFonts w:hint="default" w:ascii="Times New Roman Regular" w:hAnsi="Times New Roman Regular" w:eastAsia="宋体" w:cs="Times New Roman Regular"/>
          <w:sz w:val="21"/>
          <w:szCs w:val="21"/>
          <w:lang w:val="en-US" w:eastAsia="zh-CN"/>
        </w:rPr>
        <w:t>调整</w:t>
      </w:r>
      <w:r>
        <w:rPr>
          <w:rFonts w:hint="eastAsia" w:ascii="Times New Roman Regular" w:hAnsi="Times New Roman Regular" w:eastAsia="宋体" w:cs="Times New Roman Regular"/>
          <w:sz w:val="21"/>
          <w:szCs w:val="21"/>
          <w:lang w:val="en-US" w:eastAsia="zh-CN"/>
        </w:rPr>
        <w:t>名称</w:t>
      </w:r>
      <w:r>
        <w:rPr>
          <w:rFonts w:hint="default" w:ascii="Times New Roman Regular" w:hAnsi="Times New Roman Regular" w:eastAsia="宋体" w:cs="Times New Roman Regular"/>
          <w:sz w:val="21"/>
          <w:szCs w:val="21"/>
          <w:lang w:val="en-US" w:eastAsia="zh-CN"/>
        </w:rPr>
        <w:t>，扩大该标准的行业覆盖范围，以满足更多行业领域对电线电缆采购标准化、规范化的共同需求。名称变更有利于吸引更多行业领域采购单位参与，切实推动电线电缆采购的整体提质增效。</w:t>
      </w:r>
      <w:r>
        <w:rPr>
          <w:rFonts w:hint="eastAsia" w:ascii="Times New Roman Regular" w:hAnsi="Times New Roman Regular" w:eastAsia="宋体" w:cs="Times New Roman Regular"/>
          <w:sz w:val="21"/>
          <w:szCs w:val="21"/>
          <w:lang w:val="en-US" w:eastAsia="zh-CN"/>
        </w:rPr>
        <w:t>经编制组专家审议，</w:t>
      </w:r>
      <w:r>
        <w:rPr>
          <w:rFonts w:hint="eastAsia" w:ascii="Times New Roman Regular" w:hAnsi="Times New Roman Regular" w:eastAsia="宋体" w:cs="Times New Roman Regular"/>
          <w:b w:val="0"/>
          <w:bCs w:val="0"/>
          <w:sz w:val="21"/>
          <w:szCs w:val="21"/>
          <w:lang w:val="en-US" w:eastAsia="zh-CN"/>
        </w:rPr>
        <w:t>T/CTBA 006后续标准统一改为《电线电缆采购技术规范》，故本部分标准更名为《</w:t>
      </w:r>
      <w:r>
        <w:rPr>
          <w:rFonts w:hint="default" w:ascii="Times New Roman Regular" w:hAnsi="Times New Roman Regular" w:eastAsia="宋体" w:cs="Times New Roman Regular"/>
          <w:sz w:val="21"/>
          <w:szCs w:val="21"/>
          <w:lang w:val="en-US" w:eastAsia="zh-CN"/>
        </w:rPr>
        <w:t>电线电缆采购技术</w:t>
      </w:r>
      <w:r>
        <w:rPr>
          <w:rFonts w:hint="eastAsia" w:ascii="Times New Roman Regular" w:hAnsi="Times New Roman Regular" w:eastAsia="宋体" w:cs="Times New Roman Regular"/>
          <w:sz w:val="21"/>
          <w:szCs w:val="21"/>
          <w:lang w:val="en-US" w:eastAsia="zh-CN"/>
        </w:rPr>
        <w:t>规范</w:t>
      </w:r>
      <w:r>
        <w:rPr>
          <w:rFonts w:hint="default" w:ascii="Times New Roman Regular" w:hAnsi="Times New Roman Regular" w:eastAsia="宋体" w:cs="Times New Roman Regular"/>
          <w:sz w:val="21"/>
          <w:szCs w:val="21"/>
          <w:lang w:val="en-US" w:eastAsia="zh-CN"/>
        </w:rPr>
        <w:t xml:space="preserve"> 第</w:t>
      </w:r>
      <w:r>
        <w:rPr>
          <w:rFonts w:hint="eastAsia" w:ascii="Times New Roman Regular" w:hAnsi="Times New Roman Regular" w:eastAsia="宋体" w:cs="Times New Roman Regular"/>
          <w:sz w:val="21"/>
          <w:szCs w:val="21"/>
          <w:lang w:val="en-US" w:eastAsia="zh-CN"/>
        </w:rPr>
        <w:t>13</w:t>
      </w:r>
      <w:r>
        <w:rPr>
          <w:rFonts w:hint="default" w:ascii="Times New Roman Regular" w:hAnsi="Times New Roman Regular" w:eastAsia="宋体" w:cs="Times New Roman Regular"/>
          <w:sz w:val="21"/>
          <w:szCs w:val="21"/>
          <w:lang w:val="en-US" w:eastAsia="zh-CN"/>
        </w:rPr>
        <w:t>部分：</w:t>
      </w:r>
      <w:r>
        <w:rPr>
          <w:rFonts w:hint="eastAsia" w:ascii="Times New Roman Regular" w:hAnsi="Times New Roman Regular" w:eastAsia="宋体" w:cs="Times New Roman Regular"/>
          <w:b w:val="0"/>
          <w:sz w:val="21"/>
          <w:szCs w:val="21"/>
          <w:lang w:val="en-US" w:eastAsia="zh-CN"/>
        </w:rPr>
        <w:t>风力发电用耐扭曲软</w:t>
      </w:r>
      <w:r>
        <w:rPr>
          <w:rFonts w:hint="default" w:ascii="Times New Roman Regular" w:hAnsi="Times New Roman Regular" w:eastAsia="宋体" w:cs="Times New Roman Regular"/>
          <w:b w:val="0"/>
          <w:sz w:val="21"/>
          <w:szCs w:val="21"/>
          <w:lang w:val="en-US" w:eastAsia="zh-CN"/>
        </w:rPr>
        <w:t>电缆</w:t>
      </w:r>
      <w:r>
        <w:rPr>
          <w:rFonts w:hint="eastAsia" w:ascii="Times New Roman Regular" w:hAnsi="Times New Roman Regular" w:eastAsia="宋体" w:cs="Times New Roman Regular"/>
          <w:b w:val="0"/>
          <w:bCs w:val="0"/>
          <w:sz w:val="21"/>
          <w:szCs w:val="21"/>
          <w:lang w:val="en-US" w:eastAsia="zh-CN"/>
        </w:rPr>
        <w:t>（35kV及以下）</w:t>
      </w:r>
      <w:r>
        <w:rPr>
          <w:rFonts w:hint="default" w:ascii="Times New Roman Regular" w:hAnsi="Times New Roman Regular" w:eastAsia="宋体" w:cs="Times New Roman Regular"/>
          <w:sz w:val="21"/>
          <w:szCs w:val="21"/>
          <w:lang w:val="en-US" w:eastAsia="zh-CN"/>
        </w:rPr>
        <w:t>》。</w:t>
      </w:r>
    </w:p>
    <w:p w14:paraId="24ADDD12">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87" w:name="_Toc27860"/>
      <w:bookmarkStart w:id="88" w:name="_Toc5485"/>
      <w:bookmarkStart w:id="89" w:name="_Toc29697"/>
      <w:bookmarkStart w:id="90" w:name="_Toc2013556183"/>
      <w:bookmarkStart w:id="91" w:name="_Toc10148"/>
      <w:bookmarkStart w:id="92" w:name="_Toc766"/>
      <w:bookmarkStart w:id="93" w:name="_Toc17477"/>
      <w:bookmarkStart w:id="94" w:name="_Toc1970812215"/>
      <w:bookmarkStart w:id="95" w:name="_Toc250"/>
      <w:bookmarkStart w:id="96" w:name="_Toc21633"/>
      <w:bookmarkStart w:id="97" w:name="_Toc4698"/>
      <w:bookmarkStart w:id="98" w:name="_Toc29105"/>
      <w:bookmarkStart w:id="99" w:name="_Toc16264"/>
      <w:bookmarkStart w:id="100" w:name="_Toc23084"/>
      <w:r>
        <w:rPr>
          <w:rFonts w:hint="eastAsia" w:ascii="黑体" w:hAnsi="黑体" w:eastAsia="黑体" w:cs="黑体"/>
          <w:b w:val="0"/>
          <w:bCs/>
          <w:sz w:val="28"/>
          <w:szCs w:val="28"/>
          <w:lang w:val="en-US" w:eastAsia="zh-CN"/>
        </w:rPr>
        <w:t>标准编制原则</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638C7C8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按照GB/T</w:t>
      </w:r>
      <w:r>
        <w:rPr>
          <w:rFonts w:hint="default"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rPr>
        <w:t>1.1</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2020《标准化工作导则第1部分：标准的结构和编写》的要求和规定编写本标准内容。本标准还符合以下原则：</w:t>
      </w:r>
    </w:p>
    <w:p w14:paraId="11BF8C15">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eastAsia" w:ascii="黑体" w:hAnsi="黑体" w:eastAsia="黑体" w:cs="黑体"/>
          <w:b w:val="0"/>
          <w:bCs w:val="0"/>
          <w:sz w:val="24"/>
          <w:szCs w:val="24"/>
        </w:rPr>
      </w:pPr>
      <w:bookmarkStart w:id="101" w:name="_Toc2507"/>
      <w:bookmarkStart w:id="102" w:name="_Toc7095"/>
      <w:bookmarkStart w:id="103" w:name="_Toc22135"/>
      <w:bookmarkStart w:id="104" w:name="_Toc629"/>
      <w:bookmarkStart w:id="105" w:name="_Toc11837"/>
      <w:bookmarkStart w:id="106" w:name="_Toc1791458255"/>
      <w:bookmarkStart w:id="107" w:name="_Toc653126177"/>
      <w:r>
        <w:rPr>
          <w:rFonts w:hint="eastAsia" w:ascii="黑体" w:hAnsi="黑体" w:eastAsia="黑体" w:cs="黑体"/>
          <w:b w:val="0"/>
          <w:bCs w:val="0"/>
          <w:sz w:val="24"/>
          <w:szCs w:val="24"/>
        </w:rPr>
        <w:t>（一）</w:t>
      </w:r>
      <w:r>
        <w:rPr>
          <w:rFonts w:hint="eastAsia" w:ascii="黑体" w:hAnsi="黑体" w:eastAsia="黑体" w:cs="黑体"/>
          <w:b w:val="0"/>
          <w:bCs w:val="0"/>
          <w:sz w:val="24"/>
          <w:szCs w:val="24"/>
          <w:lang w:val="en-US" w:eastAsia="zh-CN"/>
        </w:rPr>
        <w:t>一致性</w:t>
      </w:r>
      <w:r>
        <w:rPr>
          <w:rFonts w:hint="eastAsia" w:ascii="黑体" w:hAnsi="黑体" w:eastAsia="黑体" w:cs="黑体"/>
          <w:b w:val="0"/>
          <w:bCs w:val="0"/>
          <w:sz w:val="24"/>
          <w:szCs w:val="24"/>
        </w:rPr>
        <w:t>原则</w:t>
      </w:r>
      <w:bookmarkEnd w:id="101"/>
      <w:bookmarkEnd w:id="102"/>
      <w:bookmarkEnd w:id="103"/>
      <w:bookmarkEnd w:id="104"/>
      <w:bookmarkEnd w:id="105"/>
      <w:bookmarkEnd w:id="106"/>
      <w:bookmarkEnd w:id="107"/>
    </w:p>
    <w:p w14:paraId="35115F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eastAsia="zh-CN"/>
        </w:rPr>
      </w:pPr>
      <w:r>
        <w:rPr>
          <w:rFonts w:hint="default" w:ascii="Times New Roman Regular" w:hAnsi="Times New Roman Regular" w:eastAsia="宋体" w:cs="Times New Roman Regular"/>
          <w:sz w:val="21"/>
          <w:szCs w:val="21"/>
        </w:rPr>
        <w:t>本标准在起草过程中，认真对照国家标准中的有关规定，使本标准所</w:t>
      </w:r>
      <w:r>
        <w:rPr>
          <w:rFonts w:hint="default" w:ascii="Times New Roman Regular" w:hAnsi="Times New Roman Regular" w:eastAsia="宋体" w:cs="Times New Roman Regular"/>
          <w:sz w:val="21"/>
          <w:szCs w:val="21"/>
          <w:lang w:eastAsia="zh-CN"/>
        </w:rPr>
        <w:t>涉及的法律法规</w:t>
      </w:r>
      <w:r>
        <w:rPr>
          <w:rFonts w:hint="default" w:ascii="Times New Roman Regular" w:hAnsi="Times New Roman Regular" w:eastAsia="宋体" w:cs="Times New Roman Regular"/>
          <w:sz w:val="21"/>
          <w:szCs w:val="21"/>
        </w:rPr>
        <w:t>问题有据可依，与国家相关</w:t>
      </w:r>
      <w:r>
        <w:rPr>
          <w:rFonts w:hint="default" w:ascii="Times New Roman Regular" w:hAnsi="Times New Roman Regular" w:eastAsia="宋体" w:cs="Times New Roman Regular"/>
          <w:sz w:val="21"/>
          <w:szCs w:val="21"/>
          <w:lang w:eastAsia="zh-CN"/>
        </w:rPr>
        <w:t>法律法规</w:t>
      </w:r>
      <w:r>
        <w:rPr>
          <w:rFonts w:hint="default" w:ascii="Times New Roman Regular" w:hAnsi="Times New Roman Regular" w:eastAsia="宋体" w:cs="Times New Roman Regular"/>
          <w:sz w:val="21"/>
          <w:szCs w:val="21"/>
        </w:rPr>
        <w:t>保持一致</w:t>
      </w:r>
      <w:r>
        <w:rPr>
          <w:rFonts w:hint="default" w:ascii="Times New Roman Regular" w:hAnsi="Times New Roman Regular" w:eastAsia="宋体" w:cs="Times New Roman Regular"/>
          <w:sz w:val="21"/>
          <w:szCs w:val="21"/>
          <w:lang w:eastAsia="zh-CN"/>
        </w:rPr>
        <w:t>。</w:t>
      </w:r>
    </w:p>
    <w:p w14:paraId="49EECBA8">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lang w:val="en-US" w:eastAsia="zh-CN"/>
        </w:rPr>
      </w:pPr>
      <w:bookmarkStart w:id="108" w:name="_Toc1975"/>
      <w:bookmarkStart w:id="109" w:name="_Toc1302737022"/>
      <w:bookmarkStart w:id="110" w:name="_Toc19756"/>
      <w:bookmarkStart w:id="111" w:name="_Toc9906"/>
      <w:bookmarkStart w:id="112" w:name="_Toc1318160845"/>
      <w:bookmarkStart w:id="113" w:name="_Toc15922"/>
      <w:bookmarkStart w:id="114" w:name="_Toc8568"/>
      <w:bookmarkStart w:id="115" w:name="_Toc1783"/>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二</w:t>
      </w:r>
      <w:r>
        <w:rPr>
          <w:rFonts w:hint="default" w:ascii="黑体" w:hAnsi="黑体" w:eastAsia="黑体" w:cs="黑体"/>
          <w:b w:val="0"/>
          <w:bCs w:val="0"/>
          <w:sz w:val="24"/>
          <w:szCs w:val="24"/>
          <w:lang w:eastAsia="zh-CN"/>
        </w:rPr>
        <w:t>）</w:t>
      </w:r>
      <w:r>
        <w:rPr>
          <w:rFonts w:hint="default" w:ascii="黑体" w:hAnsi="黑体" w:eastAsia="黑体" w:cs="黑体"/>
          <w:b w:val="0"/>
          <w:bCs w:val="0"/>
          <w:sz w:val="24"/>
          <w:szCs w:val="24"/>
          <w:lang w:val="en-US" w:eastAsia="zh-CN"/>
        </w:rPr>
        <w:t>先进性原则</w:t>
      </w:r>
      <w:bookmarkEnd w:id="108"/>
      <w:bookmarkEnd w:id="109"/>
      <w:bookmarkEnd w:id="110"/>
      <w:bookmarkEnd w:id="111"/>
      <w:bookmarkEnd w:id="112"/>
      <w:bookmarkEnd w:id="113"/>
      <w:bookmarkEnd w:id="114"/>
      <w:bookmarkEnd w:id="115"/>
    </w:p>
    <w:p w14:paraId="4C369DC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本标准编制过程中，在充分调研的基础上，吸收了国内外同类企业和团体的技术标准和水平，在预期可达到的条件下，积极将有关新技术纳入标准，维持标准的先进性</w:t>
      </w:r>
      <w:r>
        <w:rPr>
          <w:rFonts w:hint="default" w:ascii="Times New Roman Regular" w:hAnsi="Times New Roman Regular" w:eastAsia="宋体" w:cs="Times New Roman Regular"/>
          <w:sz w:val="21"/>
          <w:szCs w:val="21"/>
          <w:lang w:eastAsia="zh-CN"/>
        </w:rPr>
        <w:t>。</w:t>
      </w:r>
    </w:p>
    <w:p w14:paraId="5B801294">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16" w:name="_Toc32176"/>
      <w:bookmarkStart w:id="117" w:name="_Toc1505347589"/>
      <w:bookmarkStart w:id="118" w:name="_Toc6626"/>
      <w:bookmarkStart w:id="119" w:name="_Toc22068"/>
      <w:bookmarkStart w:id="120" w:name="_Toc473"/>
      <w:bookmarkStart w:id="121" w:name="_Toc11494"/>
      <w:bookmarkStart w:id="122" w:name="_Toc888019463"/>
      <w:bookmarkStart w:id="123" w:name="_Toc9954"/>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三</w:t>
      </w:r>
      <w:r>
        <w:rPr>
          <w:rFonts w:hint="default" w:ascii="黑体" w:hAnsi="黑体" w:eastAsia="黑体" w:cs="黑体"/>
          <w:b w:val="0"/>
          <w:bCs w:val="0"/>
          <w:sz w:val="24"/>
          <w:szCs w:val="24"/>
        </w:rPr>
        <w:t>）协调性原则</w:t>
      </w:r>
      <w:bookmarkEnd w:id="116"/>
      <w:bookmarkEnd w:id="117"/>
      <w:bookmarkEnd w:id="118"/>
      <w:bookmarkEnd w:id="119"/>
      <w:bookmarkEnd w:id="120"/>
      <w:bookmarkEnd w:id="121"/>
      <w:bookmarkEnd w:id="122"/>
      <w:bookmarkEnd w:id="123"/>
    </w:p>
    <w:p w14:paraId="5C6D246C">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本标准在框架结构、层次的编写、要素的表述、编排格式等方面的要求尽可能与</w:t>
      </w:r>
      <w:r>
        <w:rPr>
          <w:rFonts w:hint="default" w:ascii="Times New Roman Regular" w:hAnsi="Times New Roman Regular" w:eastAsia="宋体" w:cs="Times New Roman Regular"/>
          <w:sz w:val="21"/>
          <w:szCs w:val="21"/>
          <w:lang w:val="en-US" w:eastAsia="zh-CN"/>
        </w:rPr>
        <w:t>行业标准、国际标准</w:t>
      </w:r>
      <w:r>
        <w:rPr>
          <w:rFonts w:hint="default" w:ascii="Times New Roman Regular" w:hAnsi="Times New Roman Regular" w:eastAsia="宋体" w:cs="Times New Roman Regular"/>
          <w:sz w:val="21"/>
          <w:szCs w:val="21"/>
        </w:rPr>
        <w:t>相协调。</w:t>
      </w:r>
    </w:p>
    <w:p w14:paraId="622DB5E2">
      <w:pPr>
        <w:pageBreakBefore w:val="0"/>
        <w:kinsoku/>
        <w:wordWrap/>
        <w:overflowPunct/>
        <w:topLinePunct w:val="0"/>
        <w:autoSpaceDE/>
        <w:autoSpaceDN/>
        <w:bidi w:val="0"/>
        <w:spacing w:before="157" w:beforeLines="50" w:after="157" w:afterLines="50" w:line="360" w:lineRule="auto"/>
        <w:ind w:firstLine="480" w:firstLineChars="200"/>
        <w:textAlignment w:val="auto"/>
        <w:outlineLvl w:val="1"/>
        <w:rPr>
          <w:rFonts w:hint="default" w:ascii="黑体" w:hAnsi="黑体" w:eastAsia="黑体" w:cs="黑体"/>
          <w:b w:val="0"/>
          <w:bCs w:val="0"/>
          <w:sz w:val="24"/>
          <w:szCs w:val="24"/>
        </w:rPr>
      </w:pPr>
      <w:bookmarkStart w:id="124" w:name="_Toc872083016"/>
      <w:bookmarkStart w:id="125" w:name="_Toc30308"/>
      <w:bookmarkStart w:id="126" w:name="_Toc2079251638"/>
      <w:bookmarkStart w:id="127" w:name="_Toc21195"/>
      <w:bookmarkStart w:id="128" w:name="_Toc11207"/>
      <w:bookmarkStart w:id="129" w:name="_Toc26131"/>
      <w:bookmarkStart w:id="130" w:name="_Toc25167"/>
      <w:r>
        <w:rPr>
          <w:rFonts w:hint="default" w:ascii="黑体" w:hAnsi="黑体" w:eastAsia="黑体" w:cs="黑体"/>
          <w:b w:val="0"/>
          <w:bCs w:val="0"/>
          <w:sz w:val="24"/>
          <w:szCs w:val="24"/>
        </w:rPr>
        <w:t>（</w:t>
      </w:r>
      <w:r>
        <w:rPr>
          <w:rFonts w:hint="default" w:ascii="黑体" w:hAnsi="黑体" w:eastAsia="黑体" w:cs="黑体"/>
          <w:b w:val="0"/>
          <w:bCs w:val="0"/>
          <w:sz w:val="24"/>
          <w:szCs w:val="24"/>
          <w:lang w:val="en-US" w:eastAsia="zh-CN"/>
        </w:rPr>
        <w:t>四</w:t>
      </w:r>
      <w:r>
        <w:rPr>
          <w:rFonts w:hint="default" w:ascii="黑体" w:hAnsi="黑体" w:eastAsia="黑体" w:cs="黑体"/>
          <w:b w:val="0"/>
          <w:bCs w:val="0"/>
          <w:sz w:val="24"/>
          <w:szCs w:val="24"/>
        </w:rPr>
        <w:t>）可操作性原则</w:t>
      </w:r>
      <w:bookmarkEnd w:id="124"/>
      <w:bookmarkEnd w:id="125"/>
      <w:bookmarkEnd w:id="126"/>
      <w:bookmarkEnd w:id="127"/>
      <w:bookmarkEnd w:id="128"/>
      <w:bookmarkEnd w:id="129"/>
      <w:bookmarkEnd w:id="130"/>
    </w:p>
    <w:p w14:paraId="6395CC42">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本标准充分考虑到</w:t>
      </w:r>
      <w:r>
        <w:rPr>
          <w:rFonts w:hint="eastAsia" w:ascii="Times New Roman Regular" w:hAnsi="Times New Roman Regular" w:eastAsia="宋体" w:cs="Times New Roman Regular"/>
          <w:sz w:val="21"/>
          <w:szCs w:val="21"/>
          <w:lang w:val="en-US" w:eastAsia="zh-CN"/>
        </w:rPr>
        <w:t>风力发电用耐扭曲软</w:t>
      </w:r>
      <w:r>
        <w:rPr>
          <w:rFonts w:hint="default" w:ascii="Times New Roman Regular" w:hAnsi="Times New Roman Regular" w:eastAsia="宋体" w:cs="Times New Roman Regular"/>
          <w:sz w:val="21"/>
          <w:szCs w:val="21"/>
          <w:lang w:val="en-US" w:eastAsia="zh-CN"/>
        </w:rPr>
        <w:t>电缆招投标中</w:t>
      </w:r>
      <w:r>
        <w:rPr>
          <w:rFonts w:hint="default" w:ascii="Times New Roman Regular" w:hAnsi="Times New Roman Regular" w:eastAsia="宋体" w:cs="Times New Roman Regular"/>
          <w:sz w:val="21"/>
          <w:szCs w:val="21"/>
        </w:rPr>
        <w:t>存在的问题，归纳总结出</w:t>
      </w:r>
      <w:r>
        <w:rPr>
          <w:rFonts w:hint="eastAsia" w:ascii="Times New Roman Regular" w:hAnsi="Times New Roman Regular" w:eastAsia="宋体" w:cs="Times New Roman Regular"/>
          <w:sz w:val="21"/>
          <w:szCs w:val="21"/>
          <w:lang w:val="en-US" w:eastAsia="zh-CN"/>
        </w:rPr>
        <w:t>风力发电用耐扭曲软</w:t>
      </w:r>
      <w:r>
        <w:rPr>
          <w:rFonts w:hint="default" w:ascii="Times New Roman Regular" w:hAnsi="Times New Roman Regular" w:eastAsia="宋体" w:cs="Times New Roman Regular"/>
          <w:sz w:val="21"/>
          <w:szCs w:val="21"/>
          <w:lang w:val="en-US" w:eastAsia="zh-CN"/>
        </w:rPr>
        <w:t>电缆招投标</w:t>
      </w:r>
      <w:r>
        <w:rPr>
          <w:rFonts w:hint="default" w:ascii="Times New Roman Regular" w:hAnsi="Times New Roman Regular" w:eastAsia="宋体" w:cs="Times New Roman Regular"/>
          <w:sz w:val="21"/>
          <w:szCs w:val="21"/>
        </w:rPr>
        <w:t>的一般要求</w:t>
      </w:r>
      <w:r>
        <w:rPr>
          <w:rFonts w:hint="default" w:ascii="Times New Roman Regular" w:hAnsi="Times New Roman Regular" w:eastAsia="宋体" w:cs="Times New Roman Regular"/>
          <w:sz w:val="21"/>
          <w:szCs w:val="21"/>
          <w:lang w:eastAsia="zh-CN"/>
        </w:rPr>
        <w:t>、</w:t>
      </w:r>
      <w:r>
        <w:rPr>
          <w:rFonts w:hint="default" w:ascii="Times New Roman Regular" w:hAnsi="Times New Roman Regular" w:eastAsia="宋体" w:cs="Times New Roman Regular"/>
          <w:sz w:val="21"/>
          <w:szCs w:val="21"/>
        </w:rPr>
        <w:t>技术要求和</w:t>
      </w:r>
      <w:r>
        <w:rPr>
          <w:rFonts w:hint="default" w:ascii="Times New Roman Regular" w:hAnsi="Times New Roman Regular" w:eastAsia="宋体" w:cs="Times New Roman Regular"/>
          <w:sz w:val="21"/>
          <w:szCs w:val="21"/>
          <w:lang w:val="en-US" w:eastAsia="zh-CN"/>
        </w:rPr>
        <w:t>特殊</w:t>
      </w:r>
      <w:r>
        <w:rPr>
          <w:rFonts w:hint="default" w:ascii="Times New Roman Regular" w:hAnsi="Times New Roman Regular" w:eastAsia="宋体" w:cs="Times New Roman Regular"/>
          <w:sz w:val="21"/>
          <w:szCs w:val="21"/>
        </w:rPr>
        <w:t>要求，在提高</w:t>
      </w:r>
      <w:r>
        <w:rPr>
          <w:rFonts w:hint="default" w:ascii="Times New Roman Regular" w:hAnsi="Times New Roman Regular" w:eastAsia="宋体" w:cs="Times New Roman Regular"/>
          <w:sz w:val="21"/>
          <w:szCs w:val="21"/>
          <w:lang w:val="en-US" w:eastAsia="zh-CN"/>
        </w:rPr>
        <w:t>采购</w:t>
      </w:r>
      <w:r>
        <w:rPr>
          <w:rFonts w:hint="default" w:ascii="Times New Roman Regular" w:hAnsi="Times New Roman Regular" w:eastAsia="宋体" w:cs="Times New Roman Regular"/>
          <w:sz w:val="21"/>
          <w:szCs w:val="21"/>
        </w:rPr>
        <w:t>效率、</w:t>
      </w:r>
      <w:r>
        <w:rPr>
          <w:rFonts w:hint="default" w:ascii="Times New Roman Regular" w:hAnsi="Times New Roman Regular" w:eastAsia="宋体" w:cs="Times New Roman Regular"/>
          <w:sz w:val="21"/>
          <w:szCs w:val="21"/>
          <w:lang w:val="en-US" w:eastAsia="zh-CN"/>
        </w:rPr>
        <w:t>降低采购成本</w:t>
      </w:r>
      <w:r>
        <w:rPr>
          <w:rFonts w:hint="default" w:ascii="Times New Roman Regular" w:hAnsi="Times New Roman Regular" w:eastAsia="宋体" w:cs="Times New Roman Regular"/>
          <w:sz w:val="21"/>
          <w:szCs w:val="21"/>
        </w:rPr>
        <w:t>等方面具有较强的可操作性。</w:t>
      </w:r>
    </w:p>
    <w:p w14:paraId="217956FD">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131" w:name="_Toc16282"/>
      <w:bookmarkStart w:id="132" w:name="_Toc3759"/>
      <w:bookmarkStart w:id="133" w:name="_Toc1810"/>
      <w:bookmarkStart w:id="134" w:name="_Toc10968"/>
      <w:bookmarkStart w:id="135" w:name="_Toc9905"/>
      <w:bookmarkStart w:id="136" w:name="_Toc28592"/>
      <w:bookmarkStart w:id="137" w:name="_Toc23960"/>
      <w:bookmarkStart w:id="138" w:name="_Toc21031"/>
      <w:bookmarkStart w:id="139" w:name="_Toc2701"/>
      <w:bookmarkStart w:id="140" w:name="_Toc20175"/>
      <w:bookmarkStart w:id="141" w:name="_Toc6290"/>
      <w:bookmarkStart w:id="142" w:name="_Toc523359137"/>
      <w:bookmarkStart w:id="143" w:name="_Toc2128375882"/>
      <w:r>
        <w:rPr>
          <w:rFonts w:hint="eastAsia" w:ascii="黑体" w:hAnsi="黑体" w:eastAsia="黑体" w:cs="黑体"/>
          <w:b w:val="0"/>
          <w:bCs/>
          <w:sz w:val="28"/>
          <w:szCs w:val="28"/>
          <w:lang w:val="en-US" w:eastAsia="zh-CN"/>
        </w:rPr>
        <w:t>标准主要内容</w:t>
      </w:r>
      <w:bookmarkEnd w:id="131"/>
      <w:bookmarkEnd w:id="132"/>
      <w:bookmarkEnd w:id="133"/>
      <w:bookmarkEnd w:id="134"/>
      <w:bookmarkEnd w:id="135"/>
      <w:bookmarkEnd w:id="136"/>
      <w:bookmarkEnd w:id="137"/>
      <w:bookmarkEnd w:id="138"/>
      <w:bookmarkEnd w:id="139"/>
      <w:bookmarkEnd w:id="140"/>
      <w:bookmarkEnd w:id="141"/>
      <w:r>
        <w:rPr>
          <w:rFonts w:hint="eastAsia" w:ascii="黑体" w:hAnsi="黑体" w:eastAsia="黑体" w:cs="黑体"/>
          <w:b w:val="0"/>
          <w:bCs/>
          <w:sz w:val="28"/>
          <w:szCs w:val="28"/>
          <w:lang w:val="en-US" w:eastAsia="zh-CN"/>
        </w:rPr>
        <w:t>及编制特点</w:t>
      </w:r>
      <w:bookmarkEnd w:id="142"/>
      <w:bookmarkEnd w:id="143"/>
    </w:p>
    <w:p w14:paraId="06D19583">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44" w:name="_Toc3997447"/>
      <w:bookmarkStart w:id="145" w:name="_Toc978340695"/>
      <w:bookmarkStart w:id="146" w:name="_Toc14559"/>
      <w:bookmarkStart w:id="147" w:name="_Toc11516"/>
      <w:bookmarkStart w:id="148" w:name="_Toc1178"/>
      <w:bookmarkStart w:id="149" w:name="_Toc2017"/>
      <w:bookmarkStart w:id="150" w:name="_Toc10765"/>
      <w:bookmarkStart w:id="151" w:name="_Toc5227"/>
      <w:r>
        <w:rPr>
          <w:rFonts w:hint="eastAsia" w:ascii="黑体" w:hAnsi="黑体" w:eastAsia="黑体" w:cs="黑体"/>
          <w:b w:val="0"/>
          <w:bCs w:val="0"/>
          <w:color w:val="000000" w:themeColor="text1"/>
          <w:sz w:val="24"/>
          <w:szCs w:val="24"/>
          <w:lang w:val="en-US" w:eastAsia="zh-CN"/>
          <w14:textFill>
            <w14:solidFill>
              <w14:schemeClr w14:val="tx1"/>
            </w14:solidFill>
          </w14:textFill>
        </w:rPr>
        <w:t>主要内容</w:t>
      </w:r>
      <w:bookmarkEnd w:id="144"/>
      <w:bookmarkEnd w:id="145"/>
    </w:p>
    <w:p w14:paraId="0008E1C7">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52" w:name="_Toc613098672"/>
      <w:bookmarkStart w:id="153" w:name="_Toc1837259433"/>
      <w:r>
        <w:rPr>
          <w:rFonts w:hint="eastAsia" w:ascii="Times New Roman Regular" w:hAnsi="Times New Roman Regular" w:eastAsia="宋体" w:cs="Times New Roman Regular"/>
          <w:b/>
          <w:bCs/>
          <w:kern w:val="2"/>
          <w:sz w:val="21"/>
          <w:szCs w:val="21"/>
          <w:lang w:val="en-US" w:eastAsia="zh-CN"/>
        </w:rPr>
        <w:t>范围</w:t>
      </w:r>
      <w:bookmarkEnd w:id="146"/>
      <w:bookmarkEnd w:id="147"/>
      <w:bookmarkEnd w:id="148"/>
      <w:bookmarkEnd w:id="149"/>
      <w:bookmarkEnd w:id="150"/>
      <w:bookmarkEnd w:id="151"/>
      <w:bookmarkEnd w:id="152"/>
      <w:bookmarkEnd w:id="153"/>
    </w:p>
    <w:p w14:paraId="0787893C">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bookmarkStart w:id="154" w:name="_Toc970"/>
      <w:bookmarkStart w:id="155" w:name="_Toc19290"/>
      <w:bookmarkStart w:id="156" w:name="_Toc31433"/>
      <w:bookmarkStart w:id="157" w:name="_Toc25529"/>
      <w:bookmarkStart w:id="158" w:name="_Toc23273"/>
      <w:bookmarkStart w:id="159" w:name="_Toc8409"/>
      <w:r>
        <w:rPr>
          <w:rFonts w:hint="eastAsia" w:ascii="宋体" w:hAnsi="宋体" w:eastAsia="宋体" w:cs="宋体"/>
          <w:b w:val="0"/>
          <w:bCs w:val="0"/>
          <w:kern w:val="0"/>
          <w:sz w:val="21"/>
          <w:szCs w:val="21"/>
          <w:lang w:val="en-US" w:eastAsia="zh-CN"/>
        </w:rPr>
        <w:t>本文件规定了</w:t>
      </w:r>
      <w:r>
        <w:rPr>
          <w:rFonts w:hint="eastAsia" w:ascii="宋体" w:hAnsi="宋体" w:eastAsia="宋体" w:cs="宋体"/>
          <w:spacing w:val="-1"/>
          <w:sz w:val="21"/>
          <w:szCs w:val="21"/>
          <w:lang w:val="en-US" w:eastAsia="zh-CN"/>
        </w:rPr>
        <w:t>风力发电用耐扭曲软电缆</w:t>
      </w:r>
      <w:r>
        <w:rPr>
          <w:rFonts w:hint="eastAsia" w:ascii="宋体" w:hAnsi="宋体" w:eastAsia="宋体" w:cs="宋体"/>
          <w:b w:val="0"/>
          <w:bCs w:val="0"/>
          <w:kern w:val="0"/>
          <w:sz w:val="21"/>
          <w:szCs w:val="21"/>
          <w:lang w:val="en-US" w:eastAsia="zh-CN"/>
        </w:rPr>
        <w:t>招标采购的总体要求、通用技术规范</w:t>
      </w:r>
      <w:r>
        <w:rPr>
          <w:rFonts w:hint="eastAsia" w:ascii="宋体" w:hAnsi="宋体" w:eastAsia="宋体" w:cs="宋体"/>
          <w:spacing w:val="-1"/>
          <w:sz w:val="21"/>
          <w:szCs w:val="21"/>
        </w:rPr>
        <w:t>（</w:t>
      </w:r>
      <w:r>
        <w:rPr>
          <w:rFonts w:hint="eastAsia" w:ascii="宋体" w:hAnsi="宋体" w:eastAsia="宋体" w:cs="宋体"/>
          <w:spacing w:val="-1"/>
          <w:sz w:val="21"/>
          <w:szCs w:val="21"/>
          <w:lang w:val="en-US" w:eastAsia="zh-CN"/>
        </w:rPr>
        <w:t>通用要求，</w:t>
      </w:r>
      <w:r>
        <w:rPr>
          <w:rFonts w:hint="eastAsia" w:ascii="宋体" w:hAnsi="宋体" w:eastAsia="宋体" w:cs="宋体"/>
          <w:b w:val="0"/>
          <w:bCs w:val="0"/>
          <w:kern w:val="0"/>
          <w:sz w:val="21"/>
          <w:szCs w:val="21"/>
          <w:lang w:val="en-US" w:eastAsia="zh-CN"/>
        </w:rPr>
        <w:t>产品型号和相关要求，检测和试验，现场服务、工厂检验、监造及验收，产品标志、包装、运输和保管，投标时应提供的其他材料）和专用技术规范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p>
    <w:p w14:paraId="059A1D8A">
      <w:pPr>
        <w:widowControl w:val="0"/>
        <w:numPr>
          <w:ilvl w:val="0"/>
          <w:numId w:val="0"/>
        </w:numPr>
        <w:tabs>
          <w:tab w:val="left" w:pos="420"/>
        </w:tabs>
        <w:spacing w:line="360" w:lineRule="auto"/>
        <w:ind w:firstLine="420" w:firstLineChars="200"/>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本文件适用于额定电压</w:t>
      </w:r>
      <w:r>
        <w:rPr>
          <w:rFonts w:hint="default" w:ascii="Times New Roman Regular" w:hAnsi="Times New Roman Regular" w:eastAsia="宋体" w:cs="Times New Roman Regular"/>
          <w:b w:val="0"/>
          <w:bCs w:val="0"/>
          <w:kern w:val="0"/>
          <w:sz w:val="21"/>
          <w:szCs w:val="21"/>
          <w:lang w:val="en-US" w:eastAsia="zh-CN"/>
        </w:rPr>
        <w:t>35</w:t>
      </w:r>
      <w:r>
        <w:rPr>
          <w:rFonts w:hint="default" w:ascii="Times New Roman Regular" w:hAnsi="Times New Roman Regular" w:eastAsia="宋体" w:cs="Times New Roman Regular"/>
          <w:b w:val="0"/>
          <w:bCs w:val="0"/>
          <w:kern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kV</w:t>
      </w:r>
      <w:r>
        <w:rPr>
          <w:rFonts w:hint="eastAsia" w:ascii="宋体" w:hAnsi="宋体" w:eastAsia="宋体" w:cs="宋体"/>
          <w:b w:val="0"/>
          <w:bCs w:val="0"/>
          <w:kern w:val="0"/>
          <w:sz w:val="21"/>
          <w:szCs w:val="21"/>
          <w:lang w:val="en-US" w:eastAsia="zh-CN"/>
        </w:rPr>
        <w:t>及以下</w:t>
      </w:r>
      <w:r>
        <w:rPr>
          <w:rFonts w:hint="eastAsia" w:ascii="宋体" w:hAnsi="宋体" w:eastAsia="宋体" w:cs="宋体"/>
          <w:spacing w:val="-1"/>
          <w:sz w:val="21"/>
          <w:szCs w:val="21"/>
          <w:lang w:val="en-US" w:eastAsia="zh-CN"/>
        </w:rPr>
        <w:t>风力发电用耐扭曲软电缆</w:t>
      </w:r>
      <w:r>
        <w:rPr>
          <w:rFonts w:hint="eastAsia" w:ascii="宋体" w:hAnsi="宋体" w:eastAsia="宋体" w:cs="宋体"/>
          <w:b w:val="0"/>
          <w:bCs w:val="0"/>
          <w:kern w:val="0"/>
          <w:sz w:val="21"/>
          <w:szCs w:val="21"/>
          <w:lang w:val="en-US" w:eastAsia="zh-CN"/>
        </w:rPr>
        <w:t>招标采购活动，供招标采购人和供应商参考使用。</w:t>
      </w:r>
    </w:p>
    <w:p w14:paraId="79449E5D">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0" w:name="_Toc722841998"/>
      <w:bookmarkStart w:id="161" w:name="_Toc151930218"/>
      <w:r>
        <w:rPr>
          <w:rFonts w:hint="default" w:ascii="Times New Roman Regular" w:hAnsi="Times New Roman Regular" w:eastAsia="宋体" w:cs="Times New Roman Regular"/>
          <w:b/>
          <w:bCs/>
          <w:kern w:val="2"/>
          <w:sz w:val="21"/>
          <w:szCs w:val="21"/>
          <w:lang w:val="en-US" w:eastAsia="zh-CN"/>
        </w:rPr>
        <w:t>规范性引用文件</w:t>
      </w:r>
      <w:bookmarkEnd w:id="154"/>
      <w:bookmarkEnd w:id="155"/>
      <w:bookmarkEnd w:id="156"/>
      <w:bookmarkEnd w:id="157"/>
      <w:bookmarkEnd w:id="158"/>
      <w:bookmarkEnd w:id="159"/>
      <w:bookmarkEnd w:id="160"/>
      <w:bookmarkEnd w:id="161"/>
    </w:p>
    <w:p w14:paraId="116354E1">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本部分列明了规范中引用的标准</w:t>
      </w:r>
      <w:r>
        <w:rPr>
          <w:rFonts w:hint="default" w:ascii="Times New Roman Regular" w:hAnsi="Times New Roman Regular" w:eastAsia="宋体" w:cs="Times New Roman Regular"/>
          <w:b w:val="0"/>
          <w:bCs w:val="0"/>
          <w:sz w:val="21"/>
          <w:szCs w:val="21"/>
          <w:lang w:val="en-US" w:eastAsia="zh-CN"/>
        </w:rPr>
        <w:t>文件。</w:t>
      </w:r>
    </w:p>
    <w:p w14:paraId="5AE93EA8">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eastAsia="zh-CN"/>
        </w:rPr>
      </w:pPr>
      <w:r>
        <w:rPr>
          <w:rFonts w:hint="default" w:ascii="Times New Roman Regular" w:hAnsi="Times New Roman Regular" w:eastAsia="宋体" w:cs="Times New Roman Regular"/>
          <w:b w:val="0"/>
          <w:bCs w:val="0"/>
          <w:sz w:val="21"/>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2C932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2423.17</w:t>
      </w:r>
      <w:r>
        <w:rPr>
          <w:rFonts w:hint="eastAsia" w:ascii="Times New Roman" w:hAnsi="Times New Roman" w:eastAsia="宋体" w:cs="Times New Roman"/>
          <w:color w:val="000000"/>
          <w:highlight w:val="none"/>
          <w:lang w:val="en-US" w:eastAsia="zh-CN"/>
        </w:rPr>
        <w:t xml:space="preserve">  环境试验  第2部分：试验方法 试验Ka：盐雾</w:t>
      </w:r>
    </w:p>
    <w:p w14:paraId="391CCE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w:t>
      </w:r>
      <w:r>
        <w:rPr>
          <w:rFonts w:hint="eastAsia" w:ascii="Times New Roman" w:hAnsi="Times New Roman" w:eastAsia="宋体" w:cs="Times New Roman"/>
          <w:color w:val="000000"/>
          <w:highlight w:val="none"/>
          <w:lang w:val="en-US" w:eastAsia="zh-CN"/>
        </w:rPr>
        <w:t xml:space="preserve"> </w:t>
      </w:r>
      <w:r>
        <w:rPr>
          <w:rFonts w:hint="default" w:ascii="Times New Roman" w:hAnsi="Times New Roman" w:eastAsia="宋体" w:cs="Times New Roman"/>
          <w:color w:val="000000"/>
          <w:highlight w:val="none"/>
          <w:lang w:val="en-US" w:eastAsia="zh-CN"/>
        </w:rPr>
        <w:t>2423.18</w:t>
      </w:r>
      <w:r>
        <w:rPr>
          <w:rFonts w:hint="eastAsia" w:ascii="Times New Roman" w:hAnsi="Times New Roman" w:eastAsia="宋体" w:cs="Times New Roman"/>
          <w:color w:val="000000"/>
          <w:highlight w:val="none"/>
          <w:lang w:val="en-US" w:eastAsia="zh-CN"/>
        </w:rPr>
        <w:t xml:space="preserve">  环境试验  第2部分：试验方法 试验Ka：盐雾，交变（氯化钠溶液）</w:t>
      </w:r>
    </w:p>
    <w:p w14:paraId="2A5295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2951.11</w:t>
      </w:r>
      <w:r>
        <w:rPr>
          <w:rFonts w:hint="eastAsia" w:ascii="Times New Roman Regular" w:hAnsi="Times New Roman Regular" w:eastAsia="宋体" w:cs="Times New Roman Regular"/>
          <w:spacing w:val="-2"/>
          <w:szCs w:val="21"/>
          <w:lang w:val="en-US" w:eastAsia="zh-CN"/>
        </w:rPr>
        <w:t xml:space="preserve">  电缆和光缆绝缘和护套材料通用试验方法  第11部分：通用试验方法</w:t>
      </w:r>
      <w:r>
        <w:rPr>
          <w:rFonts w:hint="eastAsia"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厚度和外形尺寸测量</w:t>
      </w:r>
      <w:r>
        <w:rPr>
          <w:rFonts w:hint="eastAsia"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机械性能试验</w:t>
      </w:r>
    </w:p>
    <w:p w14:paraId="1732B029">
      <w:pPr>
        <w:widowControl w:val="0"/>
        <w:kinsoku/>
        <w:autoSpaceDE/>
        <w:autoSpaceDN/>
        <w:adjustRightInd/>
        <w:snapToGrid/>
        <w:spacing w:line="360" w:lineRule="auto"/>
        <w:ind w:firstLine="420" w:firstLineChars="200"/>
        <w:textAlignment w:val="auto"/>
        <w:rPr>
          <w:rFonts w:hint="eastAsia" w:ascii="Times New Roman Regular" w:hAnsi="Times New Roman Regular" w:eastAsia="宋体" w:cs="Times New Roman Regular"/>
          <w:spacing w:val="-2"/>
          <w:szCs w:val="21"/>
          <w:lang w:val="en-US" w:eastAsia="zh-CN"/>
        </w:rPr>
      </w:pPr>
      <w:r>
        <w:rPr>
          <w:rFonts w:hint="eastAsia" w:ascii="Times New Roman" w:hAnsi="Times New Roman" w:eastAsia="宋体" w:cs="Times New Roman"/>
          <w:color w:val="000000"/>
          <w:highlight w:val="none"/>
          <w:lang w:val="en-US" w:eastAsia="zh-CN"/>
        </w:rPr>
        <w:t>GB/T 2951.12</w:t>
      </w:r>
      <w:r>
        <w:rPr>
          <w:rFonts w:hint="eastAsia" w:ascii="Times New Roman Regular" w:hAnsi="Times New Roman Regular" w:eastAsia="宋体" w:cs="Times New Roman Regular"/>
          <w:spacing w:val="-2"/>
          <w:szCs w:val="21"/>
          <w:lang w:val="en-US" w:eastAsia="zh-CN"/>
        </w:rPr>
        <w:t xml:space="preserve">  电缆和光缆绝缘和护套材料通用试验方法  第12部分：通用试验方法</w:t>
      </w:r>
      <w:r>
        <w:rPr>
          <w:rFonts w:hint="eastAsia"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热老化试验方法</w:t>
      </w:r>
    </w:p>
    <w:p w14:paraId="02DB381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2951.13</w:t>
      </w:r>
      <w:r>
        <w:rPr>
          <w:rFonts w:hint="eastAsia" w:ascii="Times New Roman Regular" w:hAnsi="Times New Roman Regular" w:eastAsia="宋体" w:cs="Times New Roman Regular"/>
          <w:spacing w:val="-2"/>
          <w:szCs w:val="21"/>
          <w:lang w:val="en-US" w:eastAsia="zh-CN"/>
        </w:rPr>
        <w:t xml:space="preserve">  电缆和光缆绝缘和护套材料通用试验方法  第13部分：通用试验方法</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密度测定方法</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吸水试验</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收缩试验</w:t>
      </w:r>
    </w:p>
    <w:p w14:paraId="1408CE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2951.14</w:t>
      </w:r>
      <w:r>
        <w:rPr>
          <w:rFonts w:hint="eastAsia" w:ascii="Times New Roman Regular" w:hAnsi="Times New Roman Regular" w:eastAsia="宋体" w:cs="Times New Roman Regular"/>
          <w:spacing w:val="-2"/>
          <w:szCs w:val="21"/>
          <w:lang w:val="en-US" w:eastAsia="zh-CN"/>
        </w:rPr>
        <w:t xml:space="preserve">  电缆和光缆绝缘和护套材料通用试验方法  第14部分：通用试验方法</w:t>
      </w:r>
      <w:r>
        <w:rPr>
          <w:rFonts w:hint="eastAsia" w:ascii="微软雅黑" w:hAnsi="微软雅黑" w:eastAsia="微软雅黑" w:cs="微软雅黑"/>
          <w:spacing w:val="-2"/>
          <w:szCs w:val="21"/>
          <w:lang w:val="en-US" w:eastAsia="zh-CN"/>
        </w:rPr>
        <w:t>——</w:t>
      </w:r>
      <w:r>
        <w:rPr>
          <w:rFonts w:hint="eastAsia" w:ascii="Times New Roman Regular" w:hAnsi="Times New Roman Regular" w:eastAsia="宋体" w:cs="Times New Roman Regular"/>
          <w:spacing w:val="-2"/>
          <w:szCs w:val="21"/>
          <w:lang w:val="en-US" w:eastAsia="zh-CN"/>
        </w:rPr>
        <w:t>低温试验</w:t>
      </w:r>
    </w:p>
    <w:p w14:paraId="275111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2951.21</w:t>
      </w:r>
      <w:r>
        <w:rPr>
          <w:rFonts w:hint="default" w:ascii="Times New Roman" w:hAnsi="Times New Roman" w:eastAsia="宋体" w:cs="Times New Roman"/>
          <w:b w:val="0"/>
          <w:bCs w:val="0"/>
          <w:kern w:val="0"/>
          <w:sz w:val="21"/>
          <w:szCs w:val="21"/>
          <w:lang w:val="en-US" w:eastAsia="zh-CN"/>
        </w:rPr>
        <w:t xml:space="preserve">  电缆和光缆绝缘和护套材料通用试验方法  第21部分：弹性体混合料专用试验方法</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耐臭氧试验</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热延伸试验</w:t>
      </w:r>
      <w:r>
        <w:rPr>
          <w:rFonts w:hint="eastAsia" w:ascii="微软雅黑" w:hAnsi="微软雅黑" w:eastAsia="微软雅黑" w:cs="微软雅黑"/>
          <w:spacing w:val="-2"/>
          <w:szCs w:val="21"/>
          <w:lang w:val="en-US" w:eastAsia="zh-CN"/>
        </w:rPr>
        <w:t>——</w:t>
      </w:r>
      <w:r>
        <w:rPr>
          <w:rFonts w:hint="default" w:ascii="Times New Roman" w:hAnsi="Times New Roman" w:eastAsia="宋体" w:cs="Times New Roman"/>
          <w:b w:val="0"/>
          <w:bCs w:val="0"/>
          <w:kern w:val="0"/>
          <w:sz w:val="21"/>
          <w:szCs w:val="21"/>
          <w:lang w:val="en-US" w:eastAsia="zh-CN"/>
        </w:rPr>
        <w:t>浸矿物油试验</w:t>
      </w:r>
    </w:p>
    <w:p w14:paraId="7896CC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2951.31</w:t>
      </w:r>
      <w:r>
        <w:rPr>
          <w:rFonts w:hint="default" w:ascii="Times New Roman" w:hAnsi="Times New Roman" w:eastAsia="宋体" w:cs="Times New Roman"/>
          <w:b w:val="0"/>
          <w:bCs w:val="0"/>
          <w:kern w:val="0"/>
          <w:sz w:val="21"/>
          <w:szCs w:val="21"/>
          <w:lang w:val="en-US" w:eastAsia="zh-CN"/>
        </w:rPr>
        <w:t xml:space="preserve">  电缆和光缆绝缘和护套材料通用试验方法  第</w:t>
      </w:r>
      <w:r>
        <w:rPr>
          <w:rFonts w:hint="eastAsia" w:ascii="Times New Roman" w:hAnsi="Times New Roman" w:eastAsia="宋体" w:cs="Times New Roman"/>
          <w:b w:val="0"/>
          <w:bCs w:val="0"/>
          <w:kern w:val="0"/>
          <w:sz w:val="21"/>
          <w:szCs w:val="21"/>
          <w:lang w:val="en-US" w:eastAsia="zh-CN"/>
        </w:rPr>
        <w:t>3</w:t>
      </w:r>
      <w:r>
        <w:rPr>
          <w:rFonts w:hint="default" w:ascii="Times New Roman" w:hAnsi="Times New Roman" w:eastAsia="宋体" w:cs="Times New Roman"/>
          <w:b w:val="0"/>
          <w:bCs w:val="0"/>
          <w:kern w:val="0"/>
          <w:sz w:val="21"/>
          <w:szCs w:val="21"/>
          <w:lang w:val="en-US" w:eastAsia="zh-CN"/>
        </w:rPr>
        <w:t>1部分：</w:t>
      </w:r>
      <w:r>
        <w:rPr>
          <w:rFonts w:hint="eastAsia" w:ascii="Times New Roman" w:hAnsi="Times New Roman" w:eastAsia="宋体" w:cs="Times New Roman"/>
          <w:b w:val="0"/>
          <w:bCs w:val="0"/>
          <w:kern w:val="0"/>
          <w:sz w:val="21"/>
          <w:szCs w:val="21"/>
          <w:lang w:val="en-US" w:eastAsia="zh-CN"/>
        </w:rPr>
        <w:t>聚氯乙烯混合料专用试验方法</w:t>
      </w:r>
      <w:r>
        <w:rPr>
          <w:rFonts w:hint="eastAsia" w:ascii="微软雅黑" w:hAnsi="微软雅黑" w:eastAsia="微软雅黑" w:cs="微软雅黑"/>
          <w:spacing w:val="-2"/>
          <w:szCs w:val="21"/>
          <w:lang w:val="en-US" w:eastAsia="zh-CN"/>
        </w:rPr>
        <w:t>——</w:t>
      </w:r>
      <w:r>
        <w:rPr>
          <w:rFonts w:hint="eastAsia" w:ascii="宋体" w:hAnsi="宋体" w:eastAsia="宋体" w:cs="宋体"/>
          <w:spacing w:val="-2"/>
          <w:szCs w:val="21"/>
          <w:lang w:val="en-US" w:eastAsia="zh-CN"/>
        </w:rPr>
        <w:t>高温压力试验</w:t>
      </w:r>
      <w:r>
        <w:rPr>
          <w:rFonts w:hint="eastAsia" w:ascii="微软雅黑" w:hAnsi="微软雅黑" w:eastAsia="微软雅黑" w:cs="微软雅黑"/>
          <w:spacing w:val="-2"/>
          <w:szCs w:val="21"/>
          <w:lang w:val="en-US" w:eastAsia="zh-CN"/>
        </w:rPr>
        <w:t>——</w:t>
      </w:r>
      <w:r>
        <w:rPr>
          <w:rFonts w:hint="eastAsia" w:ascii="宋体" w:hAnsi="宋体" w:eastAsia="宋体" w:cs="宋体"/>
          <w:spacing w:val="-2"/>
          <w:szCs w:val="21"/>
          <w:lang w:val="en-US" w:eastAsia="zh-CN"/>
        </w:rPr>
        <w:t>抗开裂试验</w:t>
      </w:r>
    </w:p>
    <w:p w14:paraId="230E0F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3048.4</w:t>
      </w:r>
      <w:r>
        <w:rPr>
          <w:rFonts w:hint="default" w:ascii="Times New Roman" w:hAnsi="Times New Roman" w:eastAsia="宋体" w:cs="Times New Roman"/>
          <w:b w:val="0"/>
          <w:bCs w:val="0"/>
          <w:kern w:val="0"/>
          <w:sz w:val="21"/>
          <w:szCs w:val="21"/>
          <w:lang w:val="en-US" w:eastAsia="zh-CN"/>
        </w:rPr>
        <w:t xml:space="preserve">  电线电缆电性能试验方法  第4部分：导体直流电阻试验</w:t>
      </w:r>
    </w:p>
    <w:p w14:paraId="550ADC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3048.5</w:t>
      </w:r>
      <w:r>
        <w:rPr>
          <w:rFonts w:hint="default" w:ascii="Times New Roman" w:hAnsi="Times New Roman" w:eastAsia="宋体" w:cs="Times New Roman"/>
          <w:b w:val="0"/>
          <w:bCs w:val="0"/>
          <w:kern w:val="0"/>
          <w:sz w:val="21"/>
          <w:szCs w:val="21"/>
          <w:lang w:val="en-US" w:eastAsia="zh-CN"/>
        </w:rPr>
        <w:t xml:space="preserve">  电线电缆电性能试验方法  第</w:t>
      </w:r>
      <w:r>
        <w:rPr>
          <w:rFonts w:hint="eastAsia" w:ascii="Times New Roman" w:hAnsi="Times New Roman" w:eastAsia="宋体" w:cs="Times New Roman"/>
          <w:b w:val="0"/>
          <w:bCs w:val="0"/>
          <w:kern w:val="0"/>
          <w:sz w:val="21"/>
          <w:szCs w:val="21"/>
          <w:lang w:val="en-US" w:eastAsia="zh-CN"/>
        </w:rPr>
        <w:t>5</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绝缘电阻试验</w:t>
      </w:r>
    </w:p>
    <w:p w14:paraId="647659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pacing w:val="0"/>
          <w:position w:val="0"/>
          <w:sz w:val="21"/>
          <w:szCs w:val="24"/>
          <w:highlight w:val="none"/>
          <w:lang w:val="en-US"/>
        </w:rPr>
      </w:pPr>
      <w:r>
        <w:rPr>
          <w:rFonts w:ascii="Times New Roman" w:hAnsi="Times New Roman" w:eastAsia="宋体" w:cs="Times New Roman"/>
          <w:color w:val="000000"/>
          <w:position w:val="0"/>
          <w:sz w:val="21"/>
          <w:szCs w:val="24"/>
          <w:highlight w:val="none"/>
        </w:rPr>
        <w:t>GB</w:t>
      </w:r>
      <w:r>
        <w:rPr>
          <w:rFonts w:ascii="Times New Roman" w:hAnsi="Times New Roman" w:eastAsia="宋体" w:cs="Times New Roman"/>
          <w:color w:val="000000"/>
          <w:spacing w:val="0"/>
          <w:position w:val="0"/>
          <w:sz w:val="21"/>
          <w:szCs w:val="24"/>
          <w:highlight w:val="none"/>
        </w:rPr>
        <w:t>/T 3048.9</w:t>
      </w:r>
      <w:r>
        <w:rPr>
          <w:rFonts w:hint="default" w:ascii="Times New Roman" w:hAnsi="Times New Roman" w:eastAsia="宋体" w:cs="Times New Roman"/>
          <w:b w:val="0"/>
          <w:bCs w:val="0"/>
          <w:kern w:val="0"/>
          <w:sz w:val="21"/>
          <w:szCs w:val="21"/>
          <w:lang w:val="en-US" w:eastAsia="zh-CN"/>
        </w:rPr>
        <w:t xml:space="preserve">  电线电缆电性能试验方法  第</w:t>
      </w:r>
      <w:r>
        <w:rPr>
          <w:rFonts w:hint="eastAsia" w:ascii="Times New Roman" w:hAnsi="Times New Roman" w:eastAsia="宋体" w:cs="Times New Roman"/>
          <w:b w:val="0"/>
          <w:bCs w:val="0"/>
          <w:kern w:val="0"/>
          <w:sz w:val="21"/>
          <w:szCs w:val="21"/>
          <w:lang w:val="en-US" w:eastAsia="zh-CN"/>
        </w:rPr>
        <w:t>9</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绝缘线芯火花试验</w:t>
      </w:r>
    </w:p>
    <w:p w14:paraId="7A356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000000"/>
          <w:spacing w:val="0"/>
          <w:position w:val="0"/>
          <w:sz w:val="21"/>
          <w:szCs w:val="24"/>
          <w:highlight w:val="none"/>
        </w:rPr>
      </w:pPr>
      <w:r>
        <w:rPr>
          <w:rFonts w:ascii="Times New Roman" w:hAnsi="Times New Roman" w:eastAsia="宋体" w:cs="Times New Roman"/>
          <w:color w:val="000000"/>
          <w:sz w:val="21"/>
          <w:szCs w:val="24"/>
          <w:highlight w:val="none"/>
        </w:rPr>
        <w:t>GB</w:t>
      </w:r>
      <w:r>
        <w:rPr>
          <w:rFonts w:ascii="Times New Roman" w:hAnsi="Times New Roman" w:eastAsia="宋体" w:cs="Times New Roman"/>
          <w:color w:val="000000"/>
          <w:spacing w:val="0"/>
          <w:sz w:val="21"/>
          <w:szCs w:val="24"/>
          <w:highlight w:val="none"/>
        </w:rPr>
        <w:t>/T</w:t>
      </w:r>
      <w:r>
        <w:rPr>
          <w:rFonts w:hint="default" w:ascii="Times New Roman" w:hAnsi="Times New Roman" w:eastAsia="宋体" w:cs="Times New Roman"/>
          <w:color w:val="000000"/>
          <w:spacing w:val="0"/>
          <w:sz w:val="21"/>
          <w:szCs w:val="24"/>
          <w:highlight w:val="none"/>
          <w:lang w:val="en-US" w:eastAsia="zh-CN"/>
        </w:rPr>
        <w:t xml:space="preserve"> </w:t>
      </w:r>
      <w:r>
        <w:rPr>
          <w:rFonts w:ascii="Times New Roman" w:hAnsi="Times New Roman" w:eastAsia="宋体" w:cs="Times New Roman"/>
          <w:color w:val="000000"/>
          <w:spacing w:val="0"/>
          <w:sz w:val="21"/>
          <w:szCs w:val="24"/>
          <w:highlight w:val="none"/>
        </w:rPr>
        <w:t>3048.12</w:t>
      </w:r>
      <w:r>
        <w:rPr>
          <w:rFonts w:hint="default" w:ascii="Times New Roman" w:hAnsi="Times New Roman" w:eastAsia="宋体" w:cs="Times New Roman"/>
          <w:b w:val="0"/>
          <w:bCs w:val="0"/>
          <w:kern w:val="0"/>
          <w:sz w:val="21"/>
          <w:szCs w:val="21"/>
          <w:lang w:val="en-US" w:eastAsia="zh-CN"/>
        </w:rPr>
        <w:t xml:space="preserve">  电线电缆电性能试验方法  第</w:t>
      </w:r>
      <w:r>
        <w:rPr>
          <w:rFonts w:hint="eastAsia" w:ascii="Times New Roman" w:hAnsi="Times New Roman" w:eastAsia="宋体" w:cs="Times New Roman"/>
          <w:b w:val="0"/>
          <w:bCs w:val="0"/>
          <w:kern w:val="0"/>
          <w:sz w:val="21"/>
          <w:szCs w:val="21"/>
          <w:lang w:val="en-US" w:eastAsia="zh-CN"/>
        </w:rPr>
        <w:t>12</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局部放电试验</w:t>
      </w:r>
    </w:p>
    <w:p w14:paraId="4A47C2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w:t>
      </w:r>
      <w:r>
        <w:rPr>
          <w:rFonts w:hint="eastAsia" w:ascii="Times New Roman" w:hAnsi="Times New Roman" w:eastAsia="宋体" w:cs="Times New Roman"/>
          <w:color w:val="000000"/>
          <w:highlight w:val="none"/>
          <w:lang w:val="en-US" w:eastAsia="zh-CN"/>
        </w:rPr>
        <w:t xml:space="preserve"> </w:t>
      </w:r>
      <w:r>
        <w:rPr>
          <w:rFonts w:hint="default" w:ascii="Times New Roman" w:hAnsi="Times New Roman" w:eastAsia="宋体" w:cs="Times New Roman"/>
          <w:color w:val="000000"/>
          <w:highlight w:val="none"/>
          <w:lang w:val="en-US" w:eastAsia="zh-CN"/>
        </w:rPr>
        <w:t>3048.13</w:t>
      </w:r>
      <w:r>
        <w:rPr>
          <w:rFonts w:hint="eastAsia" w:ascii="Times New Roman Regular" w:hAnsi="Times New Roman Regular" w:eastAsia="宋体" w:cs="Times New Roman Regular"/>
          <w:spacing w:val="-2"/>
          <w:szCs w:val="21"/>
          <w:lang w:val="en-US" w:eastAsia="zh-CN"/>
        </w:rPr>
        <w:t xml:space="preserve">  电线电缆电性能试验方法  第13部分：冲击电压试验</w:t>
      </w:r>
    </w:p>
    <w:p w14:paraId="5E43DA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3048.14</w:t>
      </w:r>
      <w:r>
        <w:rPr>
          <w:rFonts w:hint="default" w:ascii="Times New Roman" w:hAnsi="Times New Roman" w:eastAsia="宋体" w:cs="Times New Roman"/>
          <w:b w:val="0"/>
          <w:bCs w:val="0"/>
          <w:kern w:val="0"/>
          <w:sz w:val="21"/>
          <w:szCs w:val="21"/>
          <w:lang w:val="en-US" w:eastAsia="zh-CN"/>
        </w:rPr>
        <w:t xml:space="preserve">  电线电缆电性能试验方法  第14部分：直流电压试验</w:t>
      </w:r>
    </w:p>
    <w:p w14:paraId="05CEF1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rPr>
      </w:pPr>
      <w:r>
        <w:rPr>
          <w:rFonts w:hint="default" w:ascii="Times New Roman" w:hAnsi="Times New Roman" w:eastAsia="宋体" w:cs="Times New Roman"/>
          <w:color w:val="000000"/>
          <w:highlight w:val="none"/>
        </w:rPr>
        <w:t>GB/T 3956</w:t>
      </w:r>
      <w:r>
        <w:rPr>
          <w:rFonts w:hint="default" w:ascii="Times New Roman" w:hAnsi="Times New Roman" w:cs="Times New Roman"/>
          <w:lang w:val="en-US" w:eastAsia="zh-CN"/>
        </w:rPr>
        <w:t xml:space="preserve">  </w:t>
      </w:r>
      <w:r>
        <w:rPr>
          <w:rFonts w:hint="default" w:ascii="Times New Roman" w:hAnsi="Times New Roman" w:cs="Times New Roman"/>
        </w:rPr>
        <w:t>电缆的导体</w:t>
      </w:r>
    </w:p>
    <w:p w14:paraId="5E9012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4909.2</w:t>
      </w:r>
      <w:r>
        <w:rPr>
          <w:rFonts w:hint="eastAsia" w:ascii="Times New Roman" w:hAnsi="Times New Roman" w:eastAsia="宋体" w:cs="Times New Roman"/>
          <w:color w:val="000000"/>
          <w:highlight w:val="none"/>
          <w:lang w:val="en-US" w:eastAsia="zh-CN"/>
        </w:rPr>
        <w:t xml:space="preserve">  裸电线试验方法  </w:t>
      </w:r>
      <w:r>
        <w:rPr>
          <w:rFonts w:hint="default" w:ascii="Times New Roman" w:hAnsi="Times New Roman" w:eastAsia="宋体" w:cs="Times New Roman"/>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w:t>
      </w:r>
      <w:r>
        <w:rPr>
          <w:rFonts w:hint="default" w:ascii="Times New Roman" w:hAnsi="Times New Roman" w:eastAsia="宋体" w:cs="Times New Roman"/>
          <w:b w:val="0"/>
          <w:bCs w:val="0"/>
          <w:kern w:val="0"/>
          <w:sz w:val="21"/>
          <w:szCs w:val="21"/>
          <w:lang w:val="en-US" w:eastAsia="zh-CN"/>
        </w:rPr>
        <w:t>部分：</w:t>
      </w:r>
      <w:r>
        <w:rPr>
          <w:rFonts w:hint="eastAsia" w:ascii="Times New Roman" w:hAnsi="Times New Roman" w:eastAsia="宋体" w:cs="Times New Roman"/>
          <w:b w:val="0"/>
          <w:bCs w:val="0"/>
          <w:kern w:val="0"/>
          <w:sz w:val="21"/>
          <w:szCs w:val="21"/>
          <w:lang w:val="en-US" w:eastAsia="zh-CN"/>
        </w:rPr>
        <w:t>尺寸测量</w:t>
      </w:r>
    </w:p>
    <w:p w14:paraId="706095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 69</w:t>
      </w:r>
      <w:r>
        <w:rPr>
          <w:rFonts w:hint="eastAsia" w:ascii="Times New Roman" w:hAnsi="Times New Roman" w:eastAsia="宋体" w:cs="Times New Roman"/>
          <w:color w:val="000000"/>
          <w:highlight w:val="none"/>
          <w:lang w:val="en-US" w:eastAsia="zh-CN"/>
        </w:rPr>
        <w:t>9</w:t>
      </w:r>
      <w:r>
        <w:rPr>
          <w:rFonts w:hint="default" w:ascii="Times New Roman" w:hAnsi="Times New Roman" w:eastAsia="宋体" w:cs="Times New Roman"/>
          <w:color w:val="000000"/>
          <w:highlight w:val="none"/>
          <w:lang w:val="en-US" w:eastAsia="zh-CN"/>
        </w:rPr>
        <w:t>5.1</w:t>
      </w:r>
      <w:r>
        <w:rPr>
          <w:rFonts w:hint="eastAsia" w:ascii="Times New Roman" w:hAnsi="Times New Roman" w:eastAsia="宋体" w:cs="Times New Roman"/>
          <w:color w:val="000000"/>
          <w:highlight w:val="none"/>
          <w:lang w:val="en-US" w:eastAsia="zh-CN"/>
        </w:rPr>
        <w:t xml:space="preserve">  </w:t>
      </w:r>
      <w:r>
        <w:rPr>
          <w:rFonts w:hint="default" w:ascii="Times New Roman" w:hAnsi="Times New Roman" w:cs="Times New Roman"/>
          <w:lang w:val="en-US" w:eastAsia="zh-CN"/>
        </w:rPr>
        <w:t>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w:t>
      </w:r>
      <w:r>
        <w:rPr>
          <w:rFonts w:hint="eastAsia" w:ascii="Times New Roman" w:hAnsi="Times New Roman" w:cs="Times New Roman"/>
          <w:lang w:val="en-US" w:eastAsia="zh-CN"/>
        </w:rPr>
        <w:t>1</w:t>
      </w:r>
      <w:r>
        <w:rPr>
          <w:rFonts w:hint="default" w:ascii="Times New Roman" w:hAnsi="Times New Roman" w:cs="Times New Roman"/>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一般规定</w:t>
      </w:r>
    </w:p>
    <w:p w14:paraId="0E32DC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GB/T 6995.3</w:t>
      </w:r>
      <w:r>
        <w:rPr>
          <w:rFonts w:hint="default" w:ascii="Times New Roman" w:hAnsi="Times New Roman" w:cs="Times New Roman"/>
          <w:lang w:val="en-US" w:eastAsia="zh-CN"/>
        </w:rPr>
        <w:t xml:space="preserve">  电线电缆识别标志方法</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第3部分</w:t>
      </w:r>
      <w:r>
        <w:rPr>
          <w:rFonts w:hint="default" w:ascii="Times New Roman" w:hAnsi="Times New Roman" w:cs="Times New Roman"/>
          <w:highlight w:val="none"/>
        </w:rPr>
        <w:t>：</w:t>
      </w:r>
      <w:r>
        <w:rPr>
          <w:rFonts w:hint="default" w:ascii="Times New Roman" w:hAnsi="Times New Roman" w:cs="Times New Roman"/>
          <w:lang w:val="en-US" w:eastAsia="zh-CN"/>
        </w:rPr>
        <w:t>电线电缆识别标志</w:t>
      </w:r>
    </w:p>
    <w:p w14:paraId="391313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GB/T</w:t>
      </w:r>
      <w:r>
        <w:rPr>
          <w:rFonts w:hint="eastAsia" w:ascii="Times New Roman" w:hAnsi="Times New Roman" w:eastAsia="宋体" w:cs="Times New Roman"/>
          <w:color w:val="000000"/>
          <w:highlight w:val="none"/>
          <w:lang w:val="en-US" w:eastAsia="zh-CN"/>
        </w:rPr>
        <w:t xml:space="preserve"> </w:t>
      </w:r>
      <w:r>
        <w:rPr>
          <w:rFonts w:hint="default" w:ascii="Times New Roman" w:hAnsi="Times New Roman" w:eastAsia="宋体" w:cs="Times New Roman"/>
          <w:color w:val="000000"/>
          <w:highlight w:val="none"/>
          <w:lang w:val="en-US" w:eastAsia="zh-CN"/>
        </w:rPr>
        <w:t>16927.1</w:t>
      </w:r>
      <w:r>
        <w:rPr>
          <w:rFonts w:hint="default" w:ascii="Times New Roman" w:hAnsi="Times New Roman" w:cs="Times New Roman"/>
          <w:lang w:val="en-US" w:eastAsia="zh-CN"/>
        </w:rPr>
        <w:t xml:space="preserve">  高电压试验技术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第1部分：一般定义及试验要求</w:t>
      </w:r>
    </w:p>
    <w:p w14:paraId="5C8E99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18380.12  电缆和光缆在火焰条件下的燃烧试验  第12部分：单根绝缘电线电缆火焰垂直蔓延试验 1</w:t>
      </w:r>
      <w:r>
        <w:rPr>
          <w:rFonts w:hint="eastAsia" w:ascii="Times New Roman" w:hAnsi="Times New Roman" w:eastAsia="宋体" w:cs="Times New Roman"/>
          <w:color w:val="000000"/>
          <w:sz w:val="10"/>
          <w:szCs w:val="10"/>
          <w:highlight w:val="none"/>
          <w:lang w:val="en-US" w:eastAsia="zh-CN"/>
        </w:rPr>
        <w:t xml:space="preserve"> </w:t>
      </w:r>
      <w:r>
        <w:rPr>
          <w:rFonts w:hint="eastAsia" w:ascii="Times New Roman" w:hAnsi="Times New Roman" w:eastAsia="宋体" w:cs="Times New Roman"/>
          <w:color w:val="000000"/>
          <w:highlight w:val="none"/>
          <w:lang w:val="en-US" w:eastAsia="zh-CN"/>
        </w:rPr>
        <w:t>kW 预混合型火焰试验方法</w:t>
      </w:r>
    </w:p>
    <w:p w14:paraId="637FE4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GB/T 18380.35  电缆和光缆在火焰条件下的燃烧试验  第35部分：垂直安装的成束电线电缆火焰垂直蔓延试验 C类</w:t>
      </w:r>
    </w:p>
    <w:p w14:paraId="3F5708A1">
      <w:pPr>
        <w:widowControl w:val="0"/>
        <w:numPr>
          <w:ilvl w:val="0"/>
          <w:numId w:val="0"/>
        </w:numPr>
        <w:tabs>
          <w:tab w:val="left" w:pos="420"/>
        </w:tabs>
        <w:spacing w:line="360" w:lineRule="auto"/>
        <w:ind w:firstLine="420" w:firstLineChars="200"/>
        <w:jc w:val="left"/>
        <w:rPr>
          <w:rFonts w:hint="eastAsia"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 xml:space="preserve">GB/T </w:t>
      </w:r>
      <w:r>
        <w:rPr>
          <w:rFonts w:hint="eastAsia" w:ascii="Times New Roman" w:hAnsi="Times New Roman" w:eastAsia="宋体" w:cs="Times New Roman"/>
          <w:b w:val="0"/>
          <w:bCs w:val="0"/>
          <w:kern w:val="0"/>
          <w:sz w:val="21"/>
          <w:szCs w:val="21"/>
          <w:lang w:val="en-US" w:eastAsia="zh-CN"/>
        </w:rPr>
        <w:t>29631  额定电压1.8/3</w:t>
      </w:r>
      <w:r>
        <w:rPr>
          <w:rFonts w:hint="eastAsia" w:ascii="Times New Roman" w:hAnsi="Times New Roman" w:eastAsia="宋体" w:cs="Times New Roman"/>
          <w:b w:val="0"/>
          <w:bCs w:val="0"/>
          <w:kern w:val="0"/>
          <w:sz w:val="10"/>
          <w:szCs w:val="10"/>
          <w:lang w:val="en-US" w:eastAsia="zh-CN"/>
        </w:rPr>
        <w:t xml:space="preserve"> </w:t>
      </w:r>
      <w:r>
        <w:rPr>
          <w:rFonts w:hint="eastAsia" w:ascii="Times New Roman" w:hAnsi="Times New Roman" w:eastAsia="宋体" w:cs="Times New Roman"/>
          <w:b w:val="0"/>
          <w:bCs w:val="0"/>
          <w:kern w:val="0"/>
          <w:sz w:val="21"/>
          <w:szCs w:val="21"/>
          <w:lang w:val="en-US" w:eastAsia="zh-CN"/>
        </w:rPr>
        <w:t>kV及以下风力发电用耐扭曲软电缆</w:t>
      </w:r>
    </w:p>
    <w:p w14:paraId="0E7D1266">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GB/T 33606</w:t>
      </w:r>
      <w:r>
        <w:rPr>
          <w:rFonts w:hint="eastAsia" w:ascii="Times New Roman" w:hAnsi="Times New Roman" w:eastAsia="宋体" w:cs="Times New Roman"/>
          <w:b w:val="0"/>
          <w:bCs w:val="0"/>
          <w:kern w:val="0"/>
          <w:sz w:val="21"/>
          <w:szCs w:val="21"/>
          <w:lang w:val="en-US" w:eastAsia="zh-CN"/>
        </w:rPr>
        <w:t xml:space="preserve">  额定电压6</w:t>
      </w:r>
      <w:r>
        <w:rPr>
          <w:rFonts w:hint="eastAsia" w:ascii="Times New Roman" w:hAnsi="Times New Roman" w:eastAsia="宋体" w:cs="Times New Roman"/>
          <w:b w:val="0"/>
          <w:bCs w:val="0"/>
          <w:kern w:val="0"/>
          <w:sz w:val="10"/>
          <w:szCs w:val="10"/>
          <w:lang w:val="en-US" w:eastAsia="zh-CN"/>
        </w:rPr>
        <w:t xml:space="preserve"> </w:t>
      </w:r>
      <w:r>
        <w:rPr>
          <w:rFonts w:hint="eastAsia" w:ascii="Times New Roman" w:hAnsi="Times New Roman" w:eastAsia="宋体" w:cs="Times New Roman"/>
          <w:b w:val="0"/>
          <w:bCs w:val="0"/>
          <w:kern w:val="0"/>
          <w:sz w:val="21"/>
          <w:szCs w:val="21"/>
          <w:lang w:val="en-US" w:eastAsia="zh-CN"/>
        </w:rPr>
        <w:t>kV（</w:t>
      </w:r>
      <w:r>
        <w:rPr>
          <w:rFonts w:hint="default" w:ascii="Times New Roman Italic" w:hAnsi="Times New Roman Italic" w:eastAsia="宋体" w:cs="Times New Roman Italic"/>
          <w:b w:val="0"/>
          <w:bCs w:val="0"/>
          <w:i/>
          <w:iCs/>
          <w:kern w:val="0"/>
          <w:sz w:val="21"/>
          <w:szCs w:val="21"/>
          <w:lang w:val="en-US" w:eastAsia="zh-CN"/>
        </w:rPr>
        <w:t>U</w:t>
      </w:r>
      <w:r>
        <w:rPr>
          <w:rFonts w:hint="eastAsia" w:ascii="Times New Roman" w:hAnsi="Times New Roman" w:eastAsia="宋体" w:cs="Times New Roman"/>
          <w:b w:val="0"/>
          <w:bCs w:val="0"/>
          <w:kern w:val="0"/>
          <w:sz w:val="21"/>
          <w:szCs w:val="21"/>
          <w:lang w:val="en-US" w:eastAsia="zh-CN"/>
        </w:rPr>
        <w:t>m=7.2</w:t>
      </w:r>
      <w:r>
        <w:rPr>
          <w:rFonts w:hint="eastAsia" w:ascii="Times New Roman" w:hAnsi="Times New Roman" w:eastAsia="宋体" w:cs="Times New Roman"/>
          <w:b w:val="0"/>
          <w:bCs w:val="0"/>
          <w:kern w:val="0"/>
          <w:sz w:val="10"/>
          <w:szCs w:val="10"/>
          <w:lang w:val="en-US" w:eastAsia="zh-CN"/>
        </w:rPr>
        <w:t xml:space="preserve"> </w:t>
      </w:r>
      <w:r>
        <w:rPr>
          <w:rFonts w:hint="eastAsia" w:ascii="Times New Roman" w:hAnsi="Times New Roman" w:eastAsia="宋体" w:cs="Times New Roman"/>
          <w:b w:val="0"/>
          <w:bCs w:val="0"/>
          <w:kern w:val="0"/>
          <w:sz w:val="21"/>
          <w:szCs w:val="21"/>
          <w:lang w:val="en-US" w:eastAsia="zh-CN"/>
        </w:rPr>
        <w:t>kV）到35</w:t>
      </w:r>
      <w:r>
        <w:rPr>
          <w:rFonts w:hint="eastAsia" w:ascii="Times New Roman" w:hAnsi="Times New Roman" w:eastAsia="宋体" w:cs="Times New Roman"/>
          <w:b w:val="0"/>
          <w:bCs w:val="0"/>
          <w:kern w:val="0"/>
          <w:sz w:val="10"/>
          <w:szCs w:val="10"/>
          <w:lang w:val="en-US" w:eastAsia="zh-CN"/>
        </w:rPr>
        <w:t xml:space="preserve"> </w:t>
      </w:r>
      <w:r>
        <w:rPr>
          <w:rFonts w:hint="eastAsia" w:ascii="Times New Roman" w:hAnsi="Times New Roman" w:eastAsia="宋体" w:cs="Times New Roman"/>
          <w:b w:val="0"/>
          <w:bCs w:val="0"/>
          <w:kern w:val="0"/>
          <w:sz w:val="21"/>
          <w:szCs w:val="21"/>
          <w:lang w:val="en-US" w:eastAsia="zh-CN"/>
        </w:rPr>
        <w:t>kV（</w:t>
      </w:r>
      <w:r>
        <w:rPr>
          <w:rFonts w:hint="default" w:ascii="Times New Roman Italic" w:hAnsi="Times New Roman Italic" w:eastAsia="宋体" w:cs="Times New Roman Italic"/>
          <w:b w:val="0"/>
          <w:bCs w:val="0"/>
          <w:i/>
          <w:iCs/>
          <w:kern w:val="0"/>
          <w:sz w:val="21"/>
          <w:szCs w:val="21"/>
          <w:lang w:val="en-US" w:eastAsia="zh-CN"/>
        </w:rPr>
        <w:t>U</w:t>
      </w:r>
      <w:r>
        <w:rPr>
          <w:rFonts w:hint="eastAsia" w:ascii="Times New Roman" w:hAnsi="Times New Roman" w:eastAsia="宋体" w:cs="Times New Roman"/>
          <w:b w:val="0"/>
          <w:bCs w:val="0"/>
          <w:kern w:val="0"/>
          <w:sz w:val="21"/>
          <w:szCs w:val="21"/>
          <w:lang w:val="en-US" w:eastAsia="zh-CN"/>
        </w:rPr>
        <w:t>m=40.5</w:t>
      </w:r>
      <w:r>
        <w:rPr>
          <w:rFonts w:hint="eastAsia" w:ascii="Times New Roman" w:hAnsi="Times New Roman" w:eastAsia="宋体" w:cs="Times New Roman"/>
          <w:b w:val="0"/>
          <w:bCs w:val="0"/>
          <w:kern w:val="0"/>
          <w:sz w:val="10"/>
          <w:szCs w:val="10"/>
          <w:lang w:val="en-US" w:eastAsia="zh-CN"/>
        </w:rPr>
        <w:t xml:space="preserve"> </w:t>
      </w:r>
      <w:r>
        <w:rPr>
          <w:rFonts w:hint="eastAsia" w:ascii="Times New Roman" w:hAnsi="Times New Roman" w:eastAsia="宋体" w:cs="Times New Roman"/>
          <w:b w:val="0"/>
          <w:bCs w:val="0"/>
          <w:kern w:val="0"/>
          <w:sz w:val="21"/>
          <w:szCs w:val="21"/>
          <w:lang w:val="en-US" w:eastAsia="zh-CN"/>
        </w:rPr>
        <w:t>kV）风力发电用耐扭曲软电缆</w:t>
      </w:r>
    </w:p>
    <w:p w14:paraId="6137D5A9">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JB/T 8137</w:t>
      </w:r>
      <w:r>
        <w:rPr>
          <w:rFonts w:hint="eastAsia" w:ascii="Times New Roman" w:hAnsi="Times New Roman" w:eastAsia="宋体" w:cs="Times New Roman"/>
          <w:b w:val="0"/>
          <w:bCs w:val="0"/>
          <w:kern w:val="0"/>
          <w:sz w:val="21"/>
          <w:szCs w:val="21"/>
          <w:lang w:val="en-US" w:eastAsia="zh-CN"/>
        </w:rPr>
        <w:t>（所有部分）</w:t>
      </w:r>
      <w:r>
        <w:rPr>
          <w:rFonts w:hint="default" w:ascii="Times New Roman" w:hAnsi="Times New Roman" w:eastAsia="宋体" w:cs="Times New Roman"/>
          <w:b w:val="0"/>
          <w:bCs w:val="0"/>
          <w:kern w:val="0"/>
          <w:sz w:val="21"/>
          <w:szCs w:val="21"/>
          <w:lang w:val="en-US" w:eastAsia="zh-CN"/>
        </w:rPr>
        <w:t xml:space="preserve">  电线电缆交货盘</w:t>
      </w:r>
    </w:p>
    <w:p w14:paraId="21F7C9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JB/T 10696.7  电线电缆机械和理化性能试验方法  第7部分：抗撕试验</w:t>
      </w:r>
    </w:p>
    <w:p w14:paraId="0ED1AC2C">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62" w:name="_Toc4210"/>
      <w:bookmarkStart w:id="163" w:name="_Toc21510"/>
      <w:bookmarkStart w:id="164" w:name="_Toc404"/>
      <w:bookmarkStart w:id="165" w:name="_Toc11509"/>
      <w:bookmarkStart w:id="166" w:name="_Toc133117643"/>
      <w:bookmarkStart w:id="167" w:name="_Toc19273"/>
      <w:bookmarkStart w:id="168" w:name="_Toc19178"/>
      <w:bookmarkStart w:id="169" w:name="_Toc490469307"/>
      <w:r>
        <w:rPr>
          <w:rFonts w:hint="default" w:ascii="Times New Roman Regular" w:hAnsi="Times New Roman Regular" w:eastAsia="宋体" w:cs="Times New Roman Regular"/>
          <w:b/>
          <w:bCs/>
          <w:kern w:val="2"/>
          <w:sz w:val="21"/>
          <w:szCs w:val="21"/>
          <w:lang w:val="en-US" w:eastAsia="zh-CN"/>
        </w:rPr>
        <w:t>术语和定义</w:t>
      </w:r>
      <w:bookmarkEnd w:id="162"/>
      <w:bookmarkEnd w:id="163"/>
      <w:bookmarkEnd w:id="164"/>
      <w:bookmarkEnd w:id="165"/>
      <w:bookmarkEnd w:id="166"/>
      <w:bookmarkEnd w:id="167"/>
      <w:bookmarkEnd w:id="168"/>
      <w:bookmarkEnd w:id="169"/>
    </w:p>
    <w:p w14:paraId="12D5C964">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lang w:val="en-US" w:eastAsia="zh-CN"/>
        </w:rPr>
        <w:t>本部分列明了文件中特定的</w:t>
      </w:r>
      <w:r>
        <w:rPr>
          <w:rFonts w:hint="default" w:ascii="Times New Roman Regular" w:hAnsi="Times New Roman Regular" w:eastAsia="宋体" w:cs="Times New Roman Regular"/>
          <w:sz w:val="21"/>
          <w:szCs w:val="21"/>
        </w:rPr>
        <w:t>术语</w:t>
      </w:r>
      <w:r>
        <w:rPr>
          <w:rFonts w:hint="default" w:ascii="Times New Roman Regular" w:hAnsi="Times New Roman Regular" w:eastAsia="宋体" w:cs="Times New Roman Regular"/>
          <w:sz w:val="21"/>
          <w:szCs w:val="21"/>
          <w:lang w:val="en-US" w:eastAsia="zh-CN"/>
        </w:rPr>
        <w:t>及其</w:t>
      </w:r>
      <w:r>
        <w:rPr>
          <w:rFonts w:hint="default" w:ascii="Times New Roman Regular" w:hAnsi="Times New Roman Regular" w:eastAsia="宋体" w:cs="Times New Roman Regular"/>
          <w:sz w:val="21"/>
          <w:szCs w:val="21"/>
        </w:rPr>
        <w:t>定义。</w:t>
      </w:r>
    </w:p>
    <w:p w14:paraId="5ADE278F">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0" w:name="_Toc1777749374"/>
      <w:bookmarkStart w:id="171" w:name="_Toc1275405563"/>
      <w:r>
        <w:rPr>
          <w:rFonts w:hint="eastAsia" w:ascii="Times New Roman Regular" w:hAnsi="Times New Roman Regular" w:eastAsia="宋体" w:cs="Times New Roman Regular"/>
          <w:b/>
          <w:bCs/>
          <w:kern w:val="2"/>
          <w:sz w:val="21"/>
          <w:szCs w:val="21"/>
          <w:lang w:val="en-US" w:eastAsia="zh-CN"/>
        </w:rPr>
        <w:t>总体要求</w:t>
      </w:r>
      <w:bookmarkEnd w:id="170"/>
      <w:bookmarkEnd w:id="171"/>
    </w:p>
    <w:p w14:paraId="4C89320A">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w:t>
      </w:r>
      <w:r>
        <w:rPr>
          <w:rFonts w:hint="eastAsia" w:ascii="Times New Roman Regular" w:hAnsi="Times New Roman Regular" w:eastAsia="宋体" w:cs="Times New Roman Regular"/>
          <w:sz w:val="21"/>
          <w:szCs w:val="21"/>
          <w:lang w:val="en-US" w:eastAsia="zh-CN"/>
        </w:rPr>
        <w:t>提出了风力发电用耐扭曲软电缆采购需求制定的一般规定</w:t>
      </w:r>
      <w:r>
        <w:rPr>
          <w:rFonts w:hint="default" w:ascii="Times New Roman Regular" w:hAnsi="Times New Roman Regular" w:eastAsia="宋体" w:cs="Times New Roman Regular"/>
          <w:sz w:val="21"/>
          <w:szCs w:val="21"/>
          <w:lang w:val="en-US" w:eastAsia="zh-CN"/>
        </w:rPr>
        <w:t>。</w:t>
      </w:r>
    </w:p>
    <w:p w14:paraId="51C33652">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72" w:name="_Toc3275"/>
      <w:bookmarkStart w:id="173" w:name="_Toc22597"/>
      <w:bookmarkStart w:id="174" w:name="_Toc20142"/>
      <w:bookmarkStart w:id="175" w:name="_Toc693748107"/>
      <w:bookmarkStart w:id="176" w:name="_Toc10399"/>
      <w:bookmarkStart w:id="177" w:name="_Toc15238"/>
      <w:bookmarkStart w:id="178" w:name="_Toc22338"/>
      <w:bookmarkStart w:id="179" w:name="_Toc1707016634"/>
      <w:r>
        <w:rPr>
          <w:rFonts w:hint="default" w:ascii="Times New Roman Regular" w:hAnsi="Times New Roman Regular" w:eastAsia="宋体" w:cs="Times New Roman Regular"/>
          <w:b/>
          <w:bCs/>
          <w:kern w:val="2"/>
          <w:sz w:val="21"/>
          <w:szCs w:val="21"/>
          <w:lang w:val="en-US" w:eastAsia="zh-CN"/>
        </w:rPr>
        <w:t>通用技术规范</w:t>
      </w:r>
      <w:bookmarkEnd w:id="172"/>
      <w:bookmarkEnd w:id="173"/>
      <w:bookmarkEnd w:id="174"/>
      <w:bookmarkEnd w:id="175"/>
      <w:bookmarkEnd w:id="176"/>
      <w:bookmarkEnd w:id="177"/>
      <w:bookmarkEnd w:id="178"/>
      <w:bookmarkEnd w:id="179"/>
    </w:p>
    <w:p w14:paraId="0F967C8F">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eastAsia" w:ascii="宋体" w:hAnsi="宋体" w:eastAsia="宋体" w:cs="宋体"/>
          <w:sz w:val="21"/>
          <w:szCs w:val="21"/>
          <w:lang w:val="en-US" w:eastAsia="zh-CN"/>
        </w:rPr>
        <w:t>“</w:t>
      </w:r>
      <w:r>
        <w:rPr>
          <w:rFonts w:hint="eastAsia" w:ascii="Times New Roman Regular" w:hAnsi="Times New Roman Regular" w:eastAsia="宋体" w:cs="Times New Roman Regular"/>
          <w:b w:val="0"/>
          <w:bCs w:val="0"/>
          <w:sz w:val="21"/>
          <w:szCs w:val="21"/>
          <w:lang w:val="en-US" w:eastAsia="zh-CN"/>
        </w:rPr>
        <w:t>通用要求”“产品型号</w:t>
      </w:r>
      <w:r>
        <w:rPr>
          <w:rFonts w:hint="default" w:ascii="Times New Roman Regular" w:hAnsi="Times New Roman Regular" w:eastAsia="宋体" w:cs="Times New Roman Regular"/>
          <w:sz w:val="21"/>
          <w:szCs w:val="21"/>
          <w:lang w:val="en-US" w:eastAsia="zh-CN"/>
        </w:rPr>
        <w:t>和</w:t>
      </w:r>
      <w:r>
        <w:rPr>
          <w:rFonts w:hint="eastAsia" w:ascii="Times New Roman Regular" w:hAnsi="Times New Roman Regular" w:eastAsia="宋体" w:cs="Times New Roman Regular"/>
          <w:sz w:val="21"/>
          <w:szCs w:val="21"/>
          <w:lang w:val="en-US" w:eastAsia="zh-CN"/>
        </w:rPr>
        <w:t>相关</w:t>
      </w:r>
      <w:r>
        <w:rPr>
          <w:rFonts w:hint="default" w:ascii="Times New Roman Regular" w:hAnsi="Times New Roman Regular" w:eastAsia="宋体" w:cs="Times New Roman Regular"/>
          <w:sz w:val="21"/>
          <w:szCs w:val="21"/>
          <w:lang w:val="en-US" w:eastAsia="zh-CN"/>
        </w:rPr>
        <w:t>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检验和试验</w:t>
      </w:r>
      <w:r>
        <w:rPr>
          <w:rFonts w:hint="eastAsia" w:ascii="Times New Roman Regular" w:hAnsi="Times New Roman Regular" w:eastAsia="宋体" w:cs="Times New Roman Regular"/>
          <w:sz w:val="21"/>
          <w:szCs w:val="21"/>
          <w:lang w:val="en-US" w:eastAsia="zh-CN"/>
        </w:rPr>
        <w:t>”“现场</w:t>
      </w:r>
      <w:r>
        <w:rPr>
          <w:rFonts w:hint="default" w:ascii="Times New Roman Regular" w:hAnsi="Times New Roman Regular" w:eastAsia="宋体" w:cs="Times New Roman Regular"/>
          <w:sz w:val="21"/>
          <w:szCs w:val="21"/>
          <w:lang w:val="en-US" w:eastAsia="zh-CN"/>
        </w:rPr>
        <w:t>服务、工厂检验、监造及验收</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产品标志、包装、运输和保管</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投标时应提供的其他资料</w:t>
      </w:r>
      <w:r>
        <w:rPr>
          <w:rFonts w:hint="eastAsia" w:ascii="宋体" w:hAnsi="宋体" w:eastAsia="宋体" w:cs="宋体"/>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28E18659">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通用技术规范部分主要介绍</w:t>
      </w:r>
      <w:r>
        <w:rPr>
          <w:rFonts w:hint="eastAsia" w:ascii="Times New Roman Regular" w:hAnsi="Times New Roman Regular" w:eastAsia="宋体" w:cs="Times New Roman Regular"/>
          <w:sz w:val="21"/>
          <w:szCs w:val="21"/>
          <w:lang w:val="en-US" w:eastAsia="zh-CN"/>
        </w:rPr>
        <w:t>风力发电用耐扭曲软电缆</w:t>
      </w:r>
      <w:r>
        <w:rPr>
          <w:rFonts w:hint="default" w:ascii="Times New Roman Regular" w:hAnsi="Times New Roman Regular" w:eastAsia="宋体" w:cs="Times New Roman Regular"/>
          <w:sz w:val="21"/>
          <w:szCs w:val="21"/>
          <w:lang w:val="en-US" w:eastAsia="zh-CN"/>
        </w:rPr>
        <w:t>招投标的一般要求</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工艺结构、性能要求及检验验收。</w:t>
      </w:r>
    </w:p>
    <w:p w14:paraId="44AC21A9">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0" w:name="_Toc15538"/>
      <w:bookmarkStart w:id="181" w:name="_Toc23278"/>
      <w:bookmarkStart w:id="182" w:name="_Toc12972"/>
      <w:bookmarkStart w:id="183" w:name="_Toc32224"/>
      <w:bookmarkStart w:id="184" w:name="_Toc1135714786"/>
      <w:bookmarkStart w:id="185" w:name="_Toc14889"/>
      <w:bookmarkStart w:id="186" w:name="_Toc1594527365"/>
      <w:bookmarkStart w:id="187" w:name="_Toc17576"/>
      <w:r>
        <w:rPr>
          <w:rFonts w:hint="default" w:ascii="Times New Roman Regular" w:hAnsi="Times New Roman Regular" w:eastAsia="宋体" w:cs="Times New Roman Regular"/>
          <w:b/>
          <w:bCs/>
          <w:kern w:val="2"/>
          <w:sz w:val="21"/>
          <w:szCs w:val="21"/>
          <w:lang w:val="en-US" w:eastAsia="zh-CN"/>
        </w:rPr>
        <w:t>专用技术规范</w:t>
      </w:r>
      <w:bookmarkEnd w:id="180"/>
      <w:bookmarkEnd w:id="181"/>
      <w:bookmarkEnd w:id="182"/>
      <w:bookmarkEnd w:id="183"/>
      <w:bookmarkEnd w:id="184"/>
      <w:bookmarkEnd w:id="185"/>
      <w:bookmarkEnd w:id="186"/>
      <w:bookmarkEnd w:id="187"/>
    </w:p>
    <w:p w14:paraId="6EB8F65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本部分由“</w:t>
      </w:r>
      <w:r>
        <w:rPr>
          <w:rFonts w:hint="default" w:ascii="Times New Roman Regular" w:hAnsi="Times New Roman Regular" w:eastAsia="宋体" w:cs="Times New Roman Regular"/>
          <w:b w:val="0"/>
          <w:bCs w:val="0"/>
          <w:sz w:val="21"/>
          <w:szCs w:val="21"/>
          <w:lang w:val="en-US" w:eastAsia="zh-CN"/>
        </w:rPr>
        <w:t>工程概况及使用条件</w:t>
      </w:r>
      <w:r>
        <w:rPr>
          <w:rFonts w:hint="eastAsia" w:ascii="Times New Roman Regular" w:hAnsi="Times New Roman Regular" w:eastAsia="宋体" w:cs="Times New Roman Regular"/>
          <w:b w:val="0"/>
          <w:bCs w:val="0"/>
          <w:sz w:val="21"/>
          <w:szCs w:val="21"/>
          <w:lang w:val="en-US" w:eastAsia="zh-CN"/>
        </w:rPr>
        <w:t>”“</w:t>
      </w:r>
      <w:r>
        <w:rPr>
          <w:rFonts w:hint="default" w:ascii="Times New Roman Regular" w:hAnsi="Times New Roman Regular" w:eastAsia="宋体" w:cs="Times New Roman Regular"/>
          <w:sz w:val="21"/>
          <w:szCs w:val="21"/>
          <w:lang w:val="en-US" w:eastAsia="zh-CN"/>
        </w:rPr>
        <w:t>项目需求部分</w:t>
      </w:r>
      <w:r>
        <w:rPr>
          <w:rFonts w:hint="eastAsia" w:ascii="Times New Roman Regular" w:hAnsi="Times New Roman Regular" w:eastAsia="宋体" w:cs="Times New Roman Regular"/>
          <w:sz w:val="21"/>
          <w:szCs w:val="21"/>
          <w:lang w:val="en-US" w:eastAsia="zh-CN"/>
        </w:rPr>
        <w:t>”“</w:t>
      </w:r>
      <w:r>
        <w:rPr>
          <w:rFonts w:hint="default" w:ascii="Times New Roman Regular" w:hAnsi="Times New Roman Regular" w:eastAsia="宋体" w:cs="Times New Roman Regular"/>
          <w:sz w:val="21"/>
          <w:szCs w:val="21"/>
          <w:lang w:val="en-US" w:eastAsia="zh-CN"/>
        </w:rPr>
        <w:t>技术参数和性能要求</w:t>
      </w:r>
      <w:r>
        <w:rPr>
          <w:rFonts w:hint="eastAsia" w:ascii="Times New Roman Regular" w:hAnsi="Times New Roman Regular" w:eastAsia="宋体" w:cs="Times New Roman Regular"/>
          <w:sz w:val="21"/>
          <w:szCs w:val="21"/>
          <w:lang w:val="en-US" w:eastAsia="zh-CN"/>
        </w:rPr>
        <w:t>”“供应商</w:t>
      </w:r>
      <w:r>
        <w:rPr>
          <w:rFonts w:hint="default" w:ascii="Times New Roman Regular" w:hAnsi="Times New Roman Regular" w:eastAsia="宋体" w:cs="Times New Roman Regular"/>
          <w:sz w:val="21"/>
          <w:szCs w:val="21"/>
          <w:lang w:val="en-US" w:eastAsia="zh-CN"/>
        </w:rPr>
        <w:t>响应部分”</w:t>
      </w:r>
      <w:r>
        <w:rPr>
          <w:rFonts w:hint="eastAsia" w:ascii="Times New Roman Regular" w:hAnsi="Times New Roman Regular" w:eastAsia="宋体" w:cs="Times New Roman Regular"/>
          <w:sz w:val="21"/>
          <w:szCs w:val="21"/>
          <w:lang w:val="en-US" w:eastAsia="zh-CN"/>
        </w:rPr>
        <w:t>等</w:t>
      </w:r>
      <w:r>
        <w:rPr>
          <w:rFonts w:hint="default" w:ascii="Times New Roman Regular" w:hAnsi="Times New Roman Regular" w:eastAsia="宋体" w:cs="Times New Roman Regular"/>
          <w:sz w:val="21"/>
          <w:szCs w:val="21"/>
          <w:lang w:val="en-US" w:eastAsia="zh-CN"/>
        </w:rPr>
        <w:t>组成。</w:t>
      </w:r>
    </w:p>
    <w:p w14:paraId="3BE3EE9B">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bCs/>
          <w:sz w:val="21"/>
          <w:szCs w:val="21"/>
          <w:lang w:val="en-US" w:eastAsia="zh-CN"/>
        </w:rPr>
      </w:pPr>
      <w:r>
        <w:rPr>
          <w:rFonts w:hint="default" w:ascii="Times New Roman Regular" w:hAnsi="Times New Roman Regular" w:eastAsia="宋体" w:cs="Times New Roman Regular"/>
          <w:sz w:val="21"/>
          <w:szCs w:val="21"/>
          <w:lang w:val="en-US" w:eastAsia="zh-CN"/>
        </w:rPr>
        <w:t>专用技术规范部分主要介绍项目的工程概况和具体要求，以及投标的具体要求。</w:t>
      </w:r>
    </w:p>
    <w:p w14:paraId="1B98A276">
      <w:pPr>
        <w:keepNext w:val="0"/>
        <w:keepLines w:val="0"/>
        <w:pageBreakBefore w:val="0"/>
        <w:numPr>
          <w:ilvl w:val="0"/>
          <w:numId w:val="17"/>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default" w:ascii="Times New Roman Regular" w:hAnsi="Times New Roman Regular" w:eastAsia="宋体" w:cs="Times New Roman Regular"/>
          <w:b/>
          <w:bCs/>
          <w:kern w:val="2"/>
          <w:sz w:val="21"/>
          <w:szCs w:val="21"/>
          <w:lang w:val="en-US" w:eastAsia="zh-CN"/>
        </w:rPr>
      </w:pPr>
      <w:bookmarkStart w:id="188" w:name="_Toc6175"/>
      <w:bookmarkStart w:id="189" w:name="_Toc159"/>
      <w:bookmarkStart w:id="190" w:name="_Toc2387"/>
      <w:bookmarkStart w:id="191" w:name="_Toc28483"/>
      <w:bookmarkStart w:id="192" w:name="_Toc21998"/>
      <w:bookmarkStart w:id="193" w:name="_Toc28244"/>
      <w:bookmarkStart w:id="194" w:name="_Toc772992642"/>
      <w:bookmarkStart w:id="195" w:name="_Toc1123753766"/>
      <w:r>
        <w:rPr>
          <w:rFonts w:hint="default" w:ascii="Times New Roman Regular" w:hAnsi="Times New Roman Regular" w:eastAsia="宋体" w:cs="Times New Roman Regular"/>
          <w:b/>
          <w:bCs/>
          <w:kern w:val="2"/>
          <w:sz w:val="21"/>
          <w:szCs w:val="21"/>
          <w:lang w:val="en-US" w:eastAsia="zh-CN"/>
        </w:rPr>
        <w:t>附录</w:t>
      </w:r>
      <w:bookmarkEnd w:id="188"/>
      <w:bookmarkEnd w:id="189"/>
      <w:bookmarkEnd w:id="190"/>
      <w:bookmarkEnd w:id="191"/>
      <w:bookmarkEnd w:id="192"/>
      <w:bookmarkEnd w:id="193"/>
      <w:bookmarkEnd w:id="194"/>
      <w:bookmarkEnd w:id="195"/>
    </w:p>
    <w:p w14:paraId="1DF1FED8">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eastAsia" w:ascii="Times New Roman Regular" w:hAnsi="Times New Roman Regular" w:eastAsia="宋体" w:cs="Times New Roman Regular"/>
          <w:b w:val="0"/>
          <w:bCs w:val="0"/>
          <w:sz w:val="21"/>
          <w:szCs w:val="21"/>
          <w:lang w:val="en-US" w:eastAsia="zh-CN"/>
        </w:rPr>
      </w:pPr>
      <w:r>
        <w:rPr>
          <w:rFonts w:hint="default" w:ascii="Times New Roman Regular" w:hAnsi="Times New Roman Regular" w:eastAsia="宋体" w:cs="Times New Roman Regular"/>
          <w:b w:val="0"/>
          <w:bCs w:val="0"/>
          <w:sz w:val="21"/>
          <w:szCs w:val="21"/>
          <w:lang w:eastAsia="zh-CN"/>
        </w:rPr>
        <w:t>附录</w:t>
      </w:r>
      <w:r>
        <w:rPr>
          <w:rFonts w:hint="eastAsia" w:ascii="Times New Roman Regular" w:hAnsi="Times New Roman Regular" w:eastAsia="宋体" w:cs="Times New Roman Regular"/>
          <w:b w:val="0"/>
          <w:bCs w:val="0"/>
          <w:sz w:val="21"/>
          <w:szCs w:val="21"/>
          <w:lang w:val="en-US" w:eastAsia="zh-CN"/>
        </w:rPr>
        <w:t>为</w:t>
      </w:r>
      <w:r>
        <w:rPr>
          <w:rFonts w:hint="default" w:ascii="Times New Roman Regular" w:hAnsi="Times New Roman Regular" w:eastAsia="宋体" w:cs="Times New Roman Regular"/>
          <w:b w:val="0"/>
          <w:bCs w:val="0"/>
          <w:sz w:val="21"/>
          <w:szCs w:val="21"/>
          <w:lang w:eastAsia="zh-CN"/>
        </w:rPr>
        <w:t>风力发电用耐扭曲软电缆技术要求。</w:t>
      </w:r>
    </w:p>
    <w:p w14:paraId="4C23899E">
      <w:pPr>
        <w:keepNext w:val="0"/>
        <w:keepLines w:val="0"/>
        <w:pageBreakBefore w:val="0"/>
        <w:numPr>
          <w:ilvl w:val="0"/>
          <w:numId w:val="16"/>
        </w:numPr>
        <w:kinsoku/>
        <w:wordWrap/>
        <w:overflowPunct/>
        <w:topLinePunct w:val="0"/>
        <w:autoSpaceDE/>
        <w:autoSpaceDN/>
        <w:bidi w:val="0"/>
        <w:adjustRightInd/>
        <w:snapToGrid/>
        <w:spacing w:before="157" w:beforeLines="50" w:after="157" w:afterLines="50" w:line="360" w:lineRule="auto"/>
        <w:ind w:leftChars="0" w:firstLine="480" w:firstLineChars="200"/>
        <w:textAlignment w:val="auto"/>
        <w:outlineLvl w:val="1"/>
        <w:rPr>
          <w:rFonts w:hint="eastAsia" w:ascii="黑体" w:hAnsi="黑体" w:eastAsia="黑体" w:cs="黑体"/>
          <w:b w:val="0"/>
          <w:bCs w:val="0"/>
          <w:color w:val="000000" w:themeColor="text1"/>
          <w:sz w:val="24"/>
          <w:szCs w:val="24"/>
          <w14:textFill>
            <w14:solidFill>
              <w14:schemeClr w14:val="tx1"/>
            </w14:solidFill>
          </w14:textFill>
        </w:rPr>
      </w:pPr>
      <w:bookmarkStart w:id="196" w:name="_Toc1558753391"/>
      <w:bookmarkStart w:id="197" w:name="_Toc1958353444"/>
      <w:r>
        <w:rPr>
          <w:rFonts w:hint="eastAsia" w:ascii="黑体" w:hAnsi="黑体" w:eastAsia="黑体" w:cs="黑体"/>
          <w:b w:val="0"/>
          <w:bCs w:val="0"/>
          <w:color w:val="000000" w:themeColor="text1"/>
          <w:sz w:val="24"/>
          <w:szCs w:val="24"/>
          <w:lang w:val="en-US" w:eastAsia="zh-CN"/>
          <w14:textFill>
            <w14:solidFill>
              <w14:schemeClr w14:val="tx1"/>
            </w14:solidFill>
          </w14:textFill>
        </w:rPr>
        <w:t>编制特点</w:t>
      </w:r>
      <w:bookmarkEnd w:id="196"/>
      <w:bookmarkEnd w:id="197"/>
    </w:p>
    <w:p w14:paraId="203970C9">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本标准条文的设置和技术要求的规定体现了以下重要特点：</w:t>
      </w:r>
    </w:p>
    <w:p w14:paraId="37BF77B3">
      <w:pPr>
        <w:keepNext w:val="0"/>
        <w:keepLines w:val="0"/>
        <w:pageBreakBefore w:val="0"/>
        <w:numPr>
          <w:ilvl w:val="0"/>
          <w:numId w:val="18"/>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8" w:name="_Toc1711959386"/>
      <w:r>
        <w:rPr>
          <w:rFonts w:hint="eastAsia" w:ascii="Times New Roman Regular" w:hAnsi="Times New Roman Regular" w:eastAsia="宋体" w:cs="Times New Roman Regular"/>
          <w:b/>
          <w:bCs/>
          <w:kern w:val="2"/>
          <w:sz w:val="21"/>
          <w:szCs w:val="21"/>
          <w:lang w:val="en-US" w:eastAsia="zh-CN"/>
        </w:rPr>
        <w:t>统一性</w:t>
      </w:r>
      <w:bookmarkEnd w:id="198"/>
    </w:p>
    <w:p w14:paraId="5A83C193">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相同应用场景，技术要求应保持一致。本标准给出了统一的工艺结构和性能要求，而非简单罗列各标准要求。</w:t>
      </w:r>
    </w:p>
    <w:p w14:paraId="62DA3033">
      <w:pPr>
        <w:keepNext w:val="0"/>
        <w:keepLines w:val="0"/>
        <w:pageBreakBefore w:val="0"/>
        <w:numPr>
          <w:ilvl w:val="0"/>
          <w:numId w:val="18"/>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199" w:name="_Toc915497996"/>
      <w:r>
        <w:rPr>
          <w:rFonts w:hint="eastAsia" w:ascii="Times New Roman Regular" w:hAnsi="Times New Roman Regular" w:eastAsia="宋体" w:cs="Times New Roman Regular"/>
          <w:b/>
          <w:bCs/>
          <w:kern w:val="2"/>
          <w:sz w:val="21"/>
          <w:szCs w:val="21"/>
          <w:lang w:val="en-US" w:eastAsia="zh-CN"/>
        </w:rPr>
        <w:t>科学性</w:t>
      </w:r>
      <w:bookmarkEnd w:id="199"/>
    </w:p>
    <w:p w14:paraId="53222DD9">
      <w:pPr>
        <w:pageBreakBefore w:val="0"/>
        <w:numPr>
          <w:ilvl w:val="-1"/>
          <w:numId w:val="0"/>
        </w:numPr>
        <w:kinsoku/>
        <w:wordWrap/>
        <w:overflowPunct/>
        <w:topLinePunct w:val="0"/>
        <w:autoSpaceDE/>
        <w:autoSpaceDN/>
        <w:bidi w:val="0"/>
        <w:spacing w:before="157" w:beforeLines="50" w:after="157" w:afterLines="50" w:line="360" w:lineRule="auto"/>
        <w:ind w:left="482" w:firstLine="0" w:firstLineChars="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功能和质量指标的设置，充分考虑了影响供应商报价和项目实施风险的因素。</w:t>
      </w:r>
    </w:p>
    <w:p w14:paraId="07CB7058">
      <w:pPr>
        <w:keepNext w:val="0"/>
        <w:keepLines w:val="0"/>
        <w:pageBreakBefore w:val="0"/>
        <w:numPr>
          <w:ilvl w:val="0"/>
          <w:numId w:val="18"/>
        </w:numPr>
        <w:kinsoku/>
        <w:wordWrap/>
        <w:overflowPunct/>
        <w:topLinePunct w:val="0"/>
        <w:autoSpaceDE/>
        <w:autoSpaceDN/>
        <w:bidi w:val="0"/>
        <w:adjustRightInd/>
        <w:snapToGrid/>
        <w:spacing w:before="157" w:beforeLines="50" w:after="157" w:afterLines="50" w:line="360" w:lineRule="auto"/>
        <w:ind w:firstLine="482"/>
        <w:textAlignment w:val="auto"/>
        <w:outlineLvl w:val="2"/>
        <w:rPr>
          <w:rFonts w:hint="eastAsia" w:ascii="Times New Roman Regular" w:hAnsi="Times New Roman Regular" w:eastAsia="宋体" w:cs="Times New Roman Regular"/>
          <w:b/>
          <w:bCs/>
          <w:kern w:val="2"/>
          <w:sz w:val="21"/>
          <w:szCs w:val="21"/>
          <w:lang w:val="en-US" w:eastAsia="zh-CN"/>
        </w:rPr>
      </w:pPr>
      <w:bookmarkStart w:id="200" w:name="_Toc54488017"/>
      <w:r>
        <w:rPr>
          <w:rFonts w:hint="eastAsia" w:ascii="Times New Roman Regular" w:hAnsi="Times New Roman Regular" w:eastAsia="宋体" w:cs="Times New Roman Regular"/>
          <w:b/>
          <w:bCs/>
          <w:kern w:val="2"/>
          <w:sz w:val="21"/>
          <w:szCs w:val="21"/>
          <w:lang w:val="en-US" w:eastAsia="zh-CN"/>
        </w:rPr>
        <w:t>实践性</w:t>
      </w:r>
      <w:bookmarkEnd w:id="200"/>
    </w:p>
    <w:p w14:paraId="31E60D5E">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场景化应用，提供“全文引用、修改引用、选择引用”三种模式，适配不同项目复杂度。</w:t>
      </w:r>
    </w:p>
    <w:p w14:paraId="0E4E351D">
      <w:pPr>
        <w:pageBreakBefore w:val="0"/>
        <w:numPr>
          <w:ilvl w:val="0"/>
          <w:numId w:val="18"/>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1" w:name="_Toc952068097"/>
      <w:r>
        <w:rPr>
          <w:rFonts w:hint="eastAsia" w:ascii="Times New Roman Regular" w:hAnsi="Times New Roman Regular" w:eastAsia="宋体" w:cs="Times New Roman Regular"/>
          <w:b/>
          <w:bCs/>
          <w:kern w:val="2"/>
          <w:sz w:val="21"/>
          <w:szCs w:val="21"/>
          <w:lang w:val="en-US" w:eastAsia="zh-CN"/>
        </w:rPr>
        <w:t>全面性</w:t>
      </w:r>
      <w:bookmarkEnd w:id="201"/>
    </w:p>
    <w:p w14:paraId="1EC49080">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全生命周期管理，从招标技术书编制到合同履约验收，覆盖电缆采购全流程。</w:t>
      </w:r>
    </w:p>
    <w:p w14:paraId="604248DD">
      <w:pPr>
        <w:pageBreakBefore w:val="0"/>
        <w:numPr>
          <w:ilvl w:val="0"/>
          <w:numId w:val="18"/>
        </w:numPr>
        <w:kinsoku/>
        <w:wordWrap/>
        <w:overflowPunct/>
        <w:topLinePunct w:val="0"/>
        <w:autoSpaceDE/>
        <w:autoSpaceDN/>
        <w:bidi w:val="0"/>
        <w:spacing w:before="157" w:beforeLines="50" w:after="157" w:afterLines="50" w:line="360" w:lineRule="auto"/>
        <w:ind w:firstLine="482" w:firstLineChars="0"/>
        <w:textAlignment w:val="auto"/>
        <w:outlineLvl w:val="2"/>
        <w:rPr>
          <w:rFonts w:hint="eastAsia" w:ascii="Times New Roman Regular" w:hAnsi="Times New Roman Regular" w:eastAsia="宋体" w:cs="Times New Roman Regular"/>
          <w:b w:val="0"/>
          <w:bCs w:val="0"/>
          <w:sz w:val="21"/>
          <w:szCs w:val="21"/>
          <w:lang w:val="en-US" w:eastAsia="zh-CN"/>
        </w:rPr>
      </w:pPr>
      <w:bookmarkStart w:id="202" w:name="_Toc507852482"/>
      <w:r>
        <w:rPr>
          <w:rFonts w:hint="eastAsia" w:ascii="Times New Roman Regular" w:hAnsi="Times New Roman Regular" w:eastAsia="宋体" w:cs="Times New Roman Regular"/>
          <w:b/>
          <w:bCs/>
          <w:kern w:val="2"/>
          <w:sz w:val="21"/>
          <w:szCs w:val="21"/>
          <w:lang w:val="en-US" w:eastAsia="zh-CN"/>
        </w:rPr>
        <w:t>先进性</w:t>
      </w:r>
      <w:bookmarkEnd w:id="202"/>
    </w:p>
    <w:p w14:paraId="75959DC7">
      <w:pPr>
        <w:pageBreakBefore w:val="0"/>
        <w:numPr>
          <w:ilvl w:val="-1"/>
          <w:numId w:val="0"/>
        </w:numPr>
        <w:kinsoku/>
        <w:wordWrap/>
        <w:overflowPunct/>
        <w:topLinePunct w:val="0"/>
        <w:autoSpaceDE/>
        <w:autoSpaceDN/>
        <w:bidi w:val="0"/>
        <w:spacing w:before="157" w:beforeLines="50" w:after="157" w:afterLines="50" w:line="360" w:lineRule="auto"/>
        <w:ind w:left="0" w:firstLine="420" w:firstLineChars="200"/>
        <w:textAlignment w:val="auto"/>
        <w:outlineLvl w:val="9"/>
        <w:rPr>
          <w:rFonts w:hint="eastAsia" w:ascii="Times New Roman Regular" w:hAnsi="Times New Roman Regular" w:eastAsia="宋体" w:cs="Times New Roman Regular"/>
          <w:b w:val="0"/>
          <w:bCs w:val="0"/>
          <w:sz w:val="21"/>
          <w:szCs w:val="21"/>
          <w:lang w:val="en-US" w:eastAsia="zh-CN"/>
        </w:rPr>
      </w:pPr>
      <w:r>
        <w:rPr>
          <w:rFonts w:hint="eastAsia" w:ascii="Times New Roman Regular" w:hAnsi="Times New Roman Regular" w:eastAsia="宋体" w:cs="Times New Roman Regular"/>
          <w:b w:val="0"/>
          <w:bCs w:val="0"/>
          <w:sz w:val="21"/>
          <w:szCs w:val="21"/>
          <w:lang w:val="en-US" w:eastAsia="zh-CN"/>
        </w:rPr>
        <w:t>数据驱动，通过表格化技术参数（如结构参数表、电气及其他参数表、非电气参数表），提升可执行性。</w:t>
      </w:r>
    </w:p>
    <w:p w14:paraId="3BE76B27">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eastAsia" w:ascii="黑体" w:hAnsi="黑体" w:eastAsia="黑体" w:cs="黑体"/>
          <w:b w:val="0"/>
          <w:bCs/>
          <w:sz w:val="28"/>
          <w:szCs w:val="28"/>
          <w:lang w:val="en-US" w:eastAsia="zh-CN"/>
        </w:rPr>
      </w:pPr>
      <w:bookmarkStart w:id="203" w:name="_Toc4353"/>
      <w:bookmarkStart w:id="204" w:name="_Toc5932"/>
      <w:bookmarkStart w:id="205" w:name="_Toc25375"/>
      <w:bookmarkStart w:id="206" w:name="_Toc1376651796"/>
      <w:bookmarkStart w:id="207" w:name="_Toc220"/>
      <w:bookmarkStart w:id="208" w:name="_Toc31550"/>
      <w:bookmarkStart w:id="209" w:name="_Toc385498374"/>
      <w:bookmarkStart w:id="210" w:name="_Toc14213"/>
      <w:bookmarkStart w:id="211" w:name="_Toc23786"/>
      <w:bookmarkStart w:id="212" w:name="_Toc21551"/>
      <w:bookmarkStart w:id="213" w:name="_Toc30636"/>
      <w:bookmarkStart w:id="214" w:name="_Toc31065"/>
      <w:bookmarkStart w:id="215" w:name="_Toc2107"/>
      <w:bookmarkStart w:id="216" w:name="_Toc17639"/>
      <w:r>
        <w:rPr>
          <w:rFonts w:hint="eastAsia" w:ascii="黑体" w:hAnsi="黑体" w:eastAsia="黑体" w:cs="黑体"/>
          <w:b w:val="0"/>
          <w:bCs/>
          <w:sz w:val="28"/>
          <w:szCs w:val="28"/>
          <w:lang w:val="en-US" w:eastAsia="zh-CN"/>
        </w:rPr>
        <w:t>重大意见分歧的处理经过和依据</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25B3E4F5">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无重大意见分歧。</w:t>
      </w:r>
    </w:p>
    <w:p w14:paraId="4E0CACEE">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17" w:name="_Toc30374"/>
      <w:bookmarkStart w:id="218" w:name="_Toc113008819"/>
      <w:bookmarkStart w:id="219" w:name="_Toc4678"/>
      <w:bookmarkStart w:id="220" w:name="_Toc23317"/>
      <w:bookmarkStart w:id="221" w:name="_Toc26432"/>
      <w:bookmarkStart w:id="222" w:name="_Toc14748"/>
      <w:bookmarkStart w:id="223" w:name="_Toc20007"/>
      <w:bookmarkStart w:id="224" w:name="_Toc9147"/>
      <w:bookmarkStart w:id="225" w:name="_Toc15080"/>
      <w:bookmarkStart w:id="226" w:name="_Toc24438"/>
      <w:bookmarkStart w:id="227" w:name="_Toc397922594"/>
      <w:bookmarkStart w:id="228" w:name="_Toc24824"/>
      <w:bookmarkStart w:id="229" w:name="_Toc16446"/>
      <w:bookmarkStart w:id="230" w:name="_Toc8894"/>
      <w:r>
        <w:rPr>
          <w:rFonts w:hint="default" w:ascii="黑体" w:hAnsi="黑体" w:eastAsia="黑体" w:cs="黑体"/>
          <w:b w:val="0"/>
          <w:bCs/>
          <w:sz w:val="28"/>
          <w:szCs w:val="28"/>
          <w:lang w:val="en-US" w:eastAsia="zh-CN"/>
        </w:rPr>
        <w:t>采标情况</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15FAAD6">
      <w:pPr>
        <w:pageBreakBefore w:val="0"/>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sz w:val="21"/>
          <w:szCs w:val="21"/>
        </w:rPr>
        <w:t>未采用国际标准。</w:t>
      </w:r>
    </w:p>
    <w:p w14:paraId="4A3322F9">
      <w:pPr>
        <w:pStyle w:val="2"/>
        <w:pageBreakBefore w:val="0"/>
        <w:numPr>
          <w:ilvl w:val="0"/>
          <w:numId w:val="6"/>
        </w:numPr>
        <w:kinsoku/>
        <w:wordWrap/>
        <w:overflowPunct/>
        <w:topLinePunct w:val="0"/>
        <w:autoSpaceDE/>
        <w:autoSpaceDN/>
        <w:bidi w:val="0"/>
        <w:spacing w:before="157" w:beforeLines="50" w:after="157" w:afterLines="50" w:line="360" w:lineRule="auto"/>
        <w:ind w:firstLine="420"/>
        <w:textAlignment w:val="auto"/>
        <w:rPr>
          <w:rFonts w:hint="default" w:ascii="黑体" w:hAnsi="黑体" w:eastAsia="黑体" w:cs="黑体"/>
          <w:b w:val="0"/>
          <w:bCs/>
          <w:sz w:val="28"/>
          <w:szCs w:val="28"/>
          <w:lang w:val="en-US" w:eastAsia="zh-CN"/>
        </w:rPr>
      </w:pPr>
      <w:bookmarkStart w:id="231" w:name="_Toc21972"/>
      <w:bookmarkStart w:id="232" w:name="_Toc4728"/>
      <w:bookmarkStart w:id="233" w:name="_Toc620960600"/>
      <w:bookmarkStart w:id="234" w:name="_Toc394"/>
      <w:bookmarkStart w:id="235" w:name="_Toc32756"/>
      <w:bookmarkStart w:id="236" w:name="_Toc14320"/>
      <w:bookmarkStart w:id="237" w:name="_Toc15132"/>
      <w:bookmarkStart w:id="238" w:name="_Toc21425"/>
      <w:bookmarkStart w:id="239" w:name="_Toc963676985"/>
      <w:bookmarkStart w:id="240" w:name="_Toc26590"/>
      <w:bookmarkStart w:id="241" w:name="_Toc21166"/>
      <w:bookmarkStart w:id="242" w:name="_Toc30979"/>
      <w:bookmarkStart w:id="243" w:name="_Toc29139"/>
      <w:bookmarkStart w:id="244" w:name="_Toc636"/>
      <w:r>
        <w:rPr>
          <w:rFonts w:hint="default" w:ascii="黑体" w:hAnsi="黑体" w:eastAsia="黑体" w:cs="黑体"/>
          <w:b w:val="0"/>
          <w:bCs/>
          <w:sz w:val="28"/>
          <w:szCs w:val="28"/>
          <w:lang w:val="en-US" w:eastAsia="zh-CN"/>
        </w:rPr>
        <w:t>与现行法律法规和强制性国家标准的关系</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25B1950">
      <w:pPr>
        <w:pageBreakBefore w:val="0"/>
        <w:numPr>
          <w:ilvl w:val="0"/>
          <w:numId w:val="0"/>
        </w:numPr>
        <w:kinsoku/>
        <w:wordWrap/>
        <w:overflowPunct/>
        <w:topLinePunct w:val="0"/>
        <w:autoSpaceDE/>
        <w:autoSpaceDN/>
        <w:bidi w:val="0"/>
        <w:spacing w:before="157" w:beforeLines="50" w:after="157" w:afterLines="50" w:line="360" w:lineRule="auto"/>
        <w:ind w:firstLine="420" w:firstLineChars="200"/>
        <w:textAlignment w:val="auto"/>
        <w:rPr>
          <w:rFonts w:hint="default" w:ascii="Times New Roman Regular" w:hAnsi="Times New Roman Regular" w:eastAsia="宋体" w:cs="Times New Roman Regular"/>
          <w:sz w:val="21"/>
          <w:szCs w:val="21"/>
        </w:rPr>
      </w:pPr>
      <w:r>
        <w:rPr>
          <w:rFonts w:hint="default" w:ascii="Times New Roman Regular" w:hAnsi="Times New Roman Regular" w:eastAsia="宋体" w:cs="Times New Roman Regular"/>
          <w:b w:val="0"/>
          <w:bCs w:val="0"/>
          <w:sz w:val="21"/>
          <w:szCs w:val="21"/>
          <w:lang w:val="en-US" w:eastAsia="zh-CN"/>
        </w:rPr>
        <w:t>本标准的编制从实际生产和需求出发，遵循最大共性和实际需求原则。现有标准较为一致的部分，遵循最大共性原则，一般不作更改；确有实际需求及生产，而标准没有更新的部分，做适当更新。</w:t>
      </w:r>
    </w:p>
    <w:sectPr>
      <w:headerReference r:id="rId5" w:type="default"/>
      <w:footerReference r:id="rId7" w:type="default"/>
      <w:headerReference r:id="rId6" w:type="even"/>
      <w:footerReference r:id="rId8"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Times New Roman Italic">
    <w:panose1 w:val="02020603050405020304"/>
    <w:charset w:val="00"/>
    <w:family w:val="auto"/>
    <w:pitch w:val="default"/>
    <w:sig w:usb0="E0002AEF" w:usb1="C0007841" w:usb2="00000009" w:usb3="00000000" w:csb0="400001FF" w:csb1="FFFF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42B52">
    <w:pPr>
      <w:pStyle w:val="14"/>
      <w:jc w:val="center"/>
    </w:pPr>
  </w:p>
  <w:p w14:paraId="6417286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3BF2">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1363">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0E3668">
                    <w:pPr>
                      <w:pStyle w:val="14"/>
                      <w:rPr>
                        <w:rFonts w:ascii="Times New Roman Regular" w:hAnsi="Times New Roman Regular" w:cs="Times New Roman Regular"/>
                      </w:rPr>
                    </w:pPr>
                    <w:r>
                      <w:rPr>
                        <w:rFonts w:ascii="Times New Roman Regular" w:hAnsi="Times New Roman Regular" w:cs="Times New Roman Regular"/>
                      </w:rPr>
                      <w:fldChar w:fldCharType="begin"/>
                    </w:r>
                    <w:r>
                      <w:rPr>
                        <w:rFonts w:ascii="Times New Roman Regular" w:hAnsi="Times New Roman Regular" w:cs="Times New Roman Regular"/>
                      </w:rPr>
                      <w:instrText xml:space="preserve"> PAGE  \* MERGEFORMAT </w:instrText>
                    </w:r>
                    <w:r>
                      <w:rPr>
                        <w:rFonts w:ascii="Times New Roman Regular" w:hAnsi="Times New Roman Regular" w:cs="Times New Roman Regular"/>
                      </w:rPr>
                      <w:fldChar w:fldCharType="separate"/>
                    </w:r>
                    <w:r>
                      <w:rPr>
                        <w:rFonts w:ascii="Times New Roman Regular" w:hAnsi="Times New Roman Regular" w:cs="Times New Roman Regular"/>
                      </w:rPr>
                      <w:t>1</w:t>
                    </w:r>
                    <w:r>
                      <w:rPr>
                        <w:rFonts w:ascii="Times New Roman Regular" w:hAnsi="Times New Roman Regular"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C84DB">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A8D59">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BC19">
    <w:pPr>
      <w:pStyle w:val="15"/>
      <w:spacing w:after="283"/>
      <w:jc w:val="right"/>
      <w:rPr>
        <w:rFonts w:hint="default" w:ascii="Times New Roman Regular" w:hAnsi="Times New Roman Regular" w:eastAsia="宋体" w:cs="Times New Roman Regula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27F4">
    <w:pPr>
      <w:pStyle w:val="15"/>
      <w:spacing w:after="283"/>
      <w:jc w:val="left"/>
      <w:rPr>
        <w:rFonts w:ascii="Times New Roman Regular" w:hAnsi="Times New Roman Regular" w:cs="Times New Roman Regul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37759"/>
    <w:multiLevelType w:val="singleLevel"/>
    <w:tmpl w:val="84637759"/>
    <w:lvl w:ilvl="0" w:tentative="0">
      <w:start w:val="1"/>
      <w:numFmt w:val="decimal"/>
      <w:lvlText w:val="%1."/>
      <w:lvlJc w:val="left"/>
      <w:pPr>
        <w:tabs>
          <w:tab w:val="left" w:pos="312"/>
        </w:tabs>
      </w:pPr>
      <w:rPr>
        <w:rFonts w:hint="default" w:ascii="Times New Roman Regular" w:hAnsi="Times New Roman Regular" w:eastAsia="宋体" w:cs="Times New Roman Regular"/>
        <w:b w:val="0"/>
        <w:bCs w:val="0"/>
      </w:rPr>
    </w:lvl>
  </w:abstractNum>
  <w:abstractNum w:abstractNumId="1">
    <w:nsid w:val="9B72B76F"/>
    <w:multiLevelType w:val="singleLevel"/>
    <w:tmpl w:val="9B72B76F"/>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2">
    <w:nsid w:val="9FFE723B"/>
    <w:multiLevelType w:val="singleLevel"/>
    <w:tmpl w:val="9FFE723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3">
    <w:nsid w:val="CFFA3288"/>
    <w:multiLevelType w:val="singleLevel"/>
    <w:tmpl w:val="CFFA3288"/>
    <w:lvl w:ilvl="0" w:tentative="0">
      <w:start w:val="1"/>
      <w:numFmt w:val="decimal"/>
      <w:lvlText w:val="%1."/>
      <w:lvlJc w:val="left"/>
      <w:pPr>
        <w:tabs>
          <w:tab w:val="left" w:pos="312"/>
        </w:tabs>
      </w:pPr>
      <w:rPr>
        <w:rFonts w:hint="default" w:ascii="宋体" w:hAnsi="宋体" w:eastAsia="宋体" w:cs="宋体"/>
        <w:b w:val="0"/>
        <w:bCs w:val="0"/>
      </w:rPr>
    </w:lvl>
  </w:abstractNum>
  <w:abstractNum w:abstractNumId="4">
    <w:nsid w:val="DBBCD977"/>
    <w:multiLevelType w:val="multilevel"/>
    <w:tmpl w:val="DBBCD977"/>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DCF38E53"/>
    <w:multiLevelType w:val="singleLevel"/>
    <w:tmpl w:val="DCF38E53"/>
    <w:lvl w:ilvl="0" w:tentative="0">
      <w:start w:val="1"/>
      <w:numFmt w:val="decimal"/>
      <w:lvlText w:val="%1."/>
      <w:lvlJc w:val="left"/>
      <w:pPr>
        <w:tabs>
          <w:tab w:val="left" w:pos="312"/>
        </w:tabs>
      </w:pPr>
      <w:rPr>
        <w:rFonts w:hint="default" w:ascii="Times New Roman Regular" w:hAnsi="Times New Roman Regular" w:eastAsia="宋体" w:cs="Times New Roman Regular"/>
      </w:rPr>
    </w:lvl>
  </w:abstractNum>
  <w:abstractNum w:abstractNumId="6">
    <w:nsid w:val="DFF3BAB6"/>
    <w:multiLevelType w:val="singleLevel"/>
    <w:tmpl w:val="DFF3BAB6"/>
    <w:lvl w:ilvl="0" w:tentative="0">
      <w:start w:val="1"/>
      <w:numFmt w:val="chineseCounting"/>
      <w:suff w:val="nothing"/>
      <w:lvlText w:val="%1、"/>
      <w:lvlJc w:val="left"/>
      <w:pPr>
        <w:ind w:left="0" w:firstLine="420"/>
      </w:pPr>
      <w:rPr>
        <w:rFonts w:hint="eastAsia"/>
      </w:rPr>
    </w:lvl>
  </w:abstractNum>
  <w:abstractNum w:abstractNumId="7">
    <w:nsid w:val="F5F65BB9"/>
    <w:multiLevelType w:val="singleLevel"/>
    <w:tmpl w:val="F5F65BB9"/>
    <w:lvl w:ilvl="0" w:tentative="0">
      <w:start w:val="1"/>
      <w:numFmt w:val="chineseCounting"/>
      <w:suff w:val="nothing"/>
      <w:lvlText w:val="（%1）"/>
      <w:lvlJc w:val="left"/>
      <w:pPr>
        <w:ind w:left="0" w:firstLine="420"/>
      </w:pPr>
      <w:rPr>
        <w:rFonts w:hint="eastAsia"/>
      </w:rPr>
    </w:lvl>
  </w:abstractNum>
  <w:abstractNum w:abstractNumId="8">
    <w:nsid w:val="FB44FFFB"/>
    <w:multiLevelType w:val="multilevel"/>
    <w:tmpl w:val="FB44FFFB"/>
    <w:lvl w:ilvl="0" w:tentative="0">
      <w:start w:val="1"/>
      <w:numFmt w:val="decimal"/>
      <w:pStyle w:val="47"/>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9">
    <w:nsid w:val="FEBE2C9B"/>
    <w:multiLevelType w:val="singleLevel"/>
    <w:tmpl w:val="FEBE2C9B"/>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0">
    <w:nsid w:val="FFDB1FD8"/>
    <w:multiLevelType w:val="singleLevel"/>
    <w:tmpl w:val="FFDB1FD8"/>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abstractNum w:abstractNumId="11">
    <w:nsid w:val="FFF2A4A2"/>
    <w:multiLevelType w:val="singleLevel"/>
    <w:tmpl w:val="FFF2A4A2"/>
    <w:lvl w:ilvl="0" w:tentative="0">
      <w:start w:val="1"/>
      <w:numFmt w:val="decimal"/>
      <w:lvlText w:val="%1."/>
      <w:lvlJc w:val="left"/>
      <w:pPr>
        <w:tabs>
          <w:tab w:val="left" w:pos="312"/>
        </w:tabs>
      </w:pPr>
    </w:lvl>
  </w:abstractNum>
  <w:abstractNum w:abstractNumId="12">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13">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14">
    <w:nsid w:val="079102AD"/>
    <w:multiLevelType w:val="multilevel"/>
    <w:tmpl w:val="079102AD"/>
    <w:lvl w:ilvl="0" w:tentative="0">
      <w:start w:val="1"/>
      <w:numFmt w:val="decimal"/>
      <w:pStyle w:val="46"/>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15">
    <w:nsid w:val="57A17512"/>
    <w:multiLevelType w:val="multilevel"/>
    <w:tmpl w:val="57A17512"/>
    <w:lvl w:ilvl="0" w:tentative="0">
      <w:start w:val="1"/>
      <w:numFmt w:val="decimal"/>
      <w:pStyle w:val="33"/>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
    <w:nsid w:val="653028B4"/>
    <w:multiLevelType w:val="singleLevel"/>
    <w:tmpl w:val="653028B4"/>
    <w:lvl w:ilvl="0" w:tentative="0">
      <w:start w:val="1"/>
      <w:numFmt w:val="chineseCounting"/>
      <w:suff w:val="nothing"/>
      <w:lvlText w:val="（%1）"/>
      <w:lvlJc w:val="left"/>
      <w:pPr>
        <w:ind w:left="0" w:firstLine="420"/>
      </w:pPr>
      <w:rPr>
        <w:rFonts w:hint="eastAsia"/>
      </w:rPr>
    </w:lvl>
  </w:abstractNum>
  <w:abstractNum w:abstractNumId="17">
    <w:nsid w:val="775EE5C1"/>
    <w:multiLevelType w:val="singleLevel"/>
    <w:tmpl w:val="775EE5C1"/>
    <w:lvl w:ilvl="0" w:tentative="0">
      <w:start w:val="1"/>
      <w:numFmt w:val="decimal"/>
      <w:suff w:val="nothing"/>
      <w:lvlText w:val="%1．"/>
      <w:lvlJc w:val="left"/>
      <w:pPr>
        <w:ind w:left="0" w:firstLine="400"/>
      </w:pPr>
      <w:rPr>
        <w:rFonts w:hint="default" w:ascii="Times New Roman Regular" w:hAnsi="Times New Roman Regular" w:cs="Times New Roman Regular"/>
      </w:rPr>
    </w:lvl>
  </w:abstractNum>
  <w:num w:numId="1">
    <w:abstractNumId w:val="13"/>
  </w:num>
  <w:num w:numId="2">
    <w:abstractNumId w:val="12"/>
  </w:num>
  <w:num w:numId="3">
    <w:abstractNumId w:val="15"/>
  </w:num>
  <w:num w:numId="4">
    <w:abstractNumId w:val="14"/>
  </w:num>
  <w:num w:numId="5">
    <w:abstractNumId w:val="8"/>
  </w:num>
  <w:num w:numId="6">
    <w:abstractNumId w:val="6"/>
  </w:num>
  <w:num w:numId="7">
    <w:abstractNumId w:val="7"/>
  </w:num>
  <w:num w:numId="8">
    <w:abstractNumId w:val="17"/>
  </w:num>
  <w:num w:numId="9">
    <w:abstractNumId w:val="9"/>
  </w:num>
  <w:num w:numId="10">
    <w:abstractNumId w:val="11"/>
  </w:num>
  <w:num w:numId="11">
    <w:abstractNumId w:val="5"/>
  </w:num>
  <w:num w:numId="12">
    <w:abstractNumId w:val="3"/>
  </w:num>
  <w:num w:numId="13">
    <w:abstractNumId w:val="1"/>
  </w:num>
  <w:num w:numId="14">
    <w:abstractNumId w:val="4"/>
  </w:num>
  <w:num w:numId="15">
    <w:abstractNumId w:val="0"/>
  </w:num>
  <w:num w:numId="16">
    <w:abstractNumId w:val="16"/>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8102F1"/>
    <w:rsid w:val="00A55A76"/>
    <w:rsid w:val="00C417A3"/>
    <w:rsid w:val="00C603FA"/>
    <w:rsid w:val="00D35090"/>
    <w:rsid w:val="00DC70A8"/>
    <w:rsid w:val="01057F1E"/>
    <w:rsid w:val="010A6538"/>
    <w:rsid w:val="011A2A76"/>
    <w:rsid w:val="012C30C9"/>
    <w:rsid w:val="01570814"/>
    <w:rsid w:val="01751F10"/>
    <w:rsid w:val="017D31AE"/>
    <w:rsid w:val="01AE34CB"/>
    <w:rsid w:val="01EA0118"/>
    <w:rsid w:val="01F60125"/>
    <w:rsid w:val="02151639"/>
    <w:rsid w:val="02221BDB"/>
    <w:rsid w:val="023C4E17"/>
    <w:rsid w:val="0240504A"/>
    <w:rsid w:val="02414829"/>
    <w:rsid w:val="0268276F"/>
    <w:rsid w:val="0273010D"/>
    <w:rsid w:val="0313160B"/>
    <w:rsid w:val="031C69F7"/>
    <w:rsid w:val="033349EE"/>
    <w:rsid w:val="034A5312"/>
    <w:rsid w:val="038549E9"/>
    <w:rsid w:val="038D51FF"/>
    <w:rsid w:val="03AA7192"/>
    <w:rsid w:val="03C75EB2"/>
    <w:rsid w:val="03EB4055"/>
    <w:rsid w:val="04455BB0"/>
    <w:rsid w:val="04662C85"/>
    <w:rsid w:val="048929AB"/>
    <w:rsid w:val="048A686A"/>
    <w:rsid w:val="049029EF"/>
    <w:rsid w:val="04A722F0"/>
    <w:rsid w:val="04AE367F"/>
    <w:rsid w:val="04C36291"/>
    <w:rsid w:val="04C64E6C"/>
    <w:rsid w:val="04F7112F"/>
    <w:rsid w:val="05031C1C"/>
    <w:rsid w:val="05047743"/>
    <w:rsid w:val="05126ADD"/>
    <w:rsid w:val="051C79FB"/>
    <w:rsid w:val="057A2458"/>
    <w:rsid w:val="05A607FA"/>
    <w:rsid w:val="061E4045"/>
    <w:rsid w:val="06E33324"/>
    <w:rsid w:val="06FF6413"/>
    <w:rsid w:val="07003B93"/>
    <w:rsid w:val="071E4497"/>
    <w:rsid w:val="072F5986"/>
    <w:rsid w:val="073277F2"/>
    <w:rsid w:val="074107DA"/>
    <w:rsid w:val="074F1149"/>
    <w:rsid w:val="075521B6"/>
    <w:rsid w:val="07DD5F1D"/>
    <w:rsid w:val="07E77620"/>
    <w:rsid w:val="08123F24"/>
    <w:rsid w:val="08B1656C"/>
    <w:rsid w:val="08FA1588"/>
    <w:rsid w:val="09050131"/>
    <w:rsid w:val="094E5847"/>
    <w:rsid w:val="096802A0"/>
    <w:rsid w:val="097F1A8E"/>
    <w:rsid w:val="099472E7"/>
    <w:rsid w:val="09975029"/>
    <w:rsid w:val="09AC4D17"/>
    <w:rsid w:val="09BE4364"/>
    <w:rsid w:val="09C3710A"/>
    <w:rsid w:val="09F00295"/>
    <w:rsid w:val="0A033C45"/>
    <w:rsid w:val="0A2F7010"/>
    <w:rsid w:val="0A342878"/>
    <w:rsid w:val="0A481841"/>
    <w:rsid w:val="0A4D56E8"/>
    <w:rsid w:val="0A60366D"/>
    <w:rsid w:val="0A7315F2"/>
    <w:rsid w:val="0A7B4003"/>
    <w:rsid w:val="0A7D4EC4"/>
    <w:rsid w:val="0A83110A"/>
    <w:rsid w:val="0A857FE9"/>
    <w:rsid w:val="0A8D2745"/>
    <w:rsid w:val="0A9C5F85"/>
    <w:rsid w:val="0AC27E84"/>
    <w:rsid w:val="0B1306DF"/>
    <w:rsid w:val="0B1D3AD1"/>
    <w:rsid w:val="0B5908F1"/>
    <w:rsid w:val="0B6874E1"/>
    <w:rsid w:val="0B723658"/>
    <w:rsid w:val="0BBBBA8B"/>
    <w:rsid w:val="0BE249C9"/>
    <w:rsid w:val="0BE70503"/>
    <w:rsid w:val="0C3534E2"/>
    <w:rsid w:val="0C3E79DE"/>
    <w:rsid w:val="0C7B765B"/>
    <w:rsid w:val="0C8E44C1"/>
    <w:rsid w:val="0CAC7EC2"/>
    <w:rsid w:val="0CBF4F92"/>
    <w:rsid w:val="0CCD5877"/>
    <w:rsid w:val="0CF54BA1"/>
    <w:rsid w:val="0D223D2F"/>
    <w:rsid w:val="0D441024"/>
    <w:rsid w:val="0D5E1CB9"/>
    <w:rsid w:val="0D780CCE"/>
    <w:rsid w:val="0DBE26D2"/>
    <w:rsid w:val="0DDD6210"/>
    <w:rsid w:val="0E277278"/>
    <w:rsid w:val="0E2D7D0A"/>
    <w:rsid w:val="0E7C5427"/>
    <w:rsid w:val="0E7DB4FC"/>
    <w:rsid w:val="0EC07A7C"/>
    <w:rsid w:val="0ECA4CFE"/>
    <w:rsid w:val="0ECF3031"/>
    <w:rsid w:val="0EE71B02"/>
    <w:rsid w:val="0F24110D"/>
    <w:rsid w:val="0F31382A"/>
    <w:rsid w:val="0F6C9643"/>
    <w:rsid w:val="0F7A0D2D"/>
    <w:rsid w:val="0FB7CAC4"/>
    <w:rsid w:val="0FDC7E43"/>
    <w:rsid w:val="0FE16B50"/>
    <w:rsid w:val="0FEB4BAC"/>
    <w:rsid w:val="100D1BA1"/>
    <w:rsid w:val="103E7FAD"/>
    <w:rsid w:val="103F5BA1"/>
    <w:rsid w:val="104A4BA3"/>
    <w:rsid w:val="108E7218"/>
    <w:rsid w:val="10B63D14"/>
    <w:rsid w:val="10B820FF"/>
    <w:rsid w:val="10C304B2"/>
    <w:rsid w:val="110E5BD1"/>
    <w:rsid w:val="1134315E"/>
    <w:rsid w:val="11EC57E6"/>
    <w:rsid w:val="11F0799B"/>
    <w:rsid w:val="11FF47B8"/>
    <w:rsid w:val="122B630F"/>
    <w:rsid w:val="123C43E8"/>
    <w:rsid w:val="125E00D9"/>
    <w:rsid w:val="12677C09"/>
    <w:rsid w:val="126F3FA5"/>
    <w:rsid w:val="127F665A"/>
    <w:rsid w:val="12887BC1"/>
    <w:rsid w:val="128C1399"/>
    <w:rsid w:val="12A44024"/>
    <w:rsid w:val="12BE53D5"/>
    <w:rsid w:val="131B45D5"/>
    <w:rsid w:val="133471D8"/>
    <w:rsid w:val="134D2F57"/>
    <w:rsid w:val="13681478"/>
    <w:rsid w:val="13717985"/>
    <w:rsid w:val="13A730B3"/>
    <w:rsid w:val="13D87533"/>
    <w:rsid w:val="141C6857"/>
    <w:rsid w:val="145853B5"/>
    <w:rsid w:val="145D796B"/>
    <w:rsid w:val="14840CB7"/>
    <w:rsid w:val="14885C4A"/>
    <w:rsid w:val="149245B2"/>
    <w:rsid w:val="14B52807"/>
    <w:rsid w:val="14CB1C36"/>
    <w:rsid w:val="14FF0009"/>
    <w:rsid w:val="15295AC0"/>
    <w:rsid w:val="15632BBE"/>
    <w:rsid w:val="15714E3E"/>
    <w:rsid w:val="1586215F"/>
    <w:rsid w:val="15B8610B"/>
    <w:rsid w:val="15E22389"/>
    <w:rsid w:val="15EE5FD1"/>
    <w:rsid w:val="15FFAF65"/>
    <w:rsid w:val="16203F57"/>
    <w:rsid w:val="16534086"/>
    <w:rsid w:val="167069E6"/>
    <w:rsid w:val="167F37F2"/>
    <w:rsid w:val="168B5B89"/>
    <w:rsid w:val="16A7EAFF"/>
    <w:rsid w:val="16F30626"/>
    <w:rsid w:val="16FF6847"/>
    <w:rsid w:val="1726591C"/>
    <w:rsid w:val="17276095"/>
    <w:rsid w:val="172D48D7"/>
    <w:rsid w:val="17683B61"/>
    <w:rsid w:val="17750E5D"/>
    <w:rsid w:val="178D1819"/>
    <w:rsid w:val="178D35C8"/>
    <w:rsid w:val="18153CE9"/>
    <w:rsid w:val="18174183"/>
    <w:rsid w:val="182061EA"/>
    <w:rsid w:val="186A063A"/>
    <w:rsid w:val="188D4734"/>
    <w:rsid w:val="189E6E29"/>
    <w:rsid w:val="19540841"/>
    <w:rsid w:val="19582824"/>
    <w:rsid w:val="1966667F"/>
    <w:rsid w:val="19726F19"/>
    <w:rsid w:val="1998303C"/>
    <w:rsid w:val="19A60971"/>
    <w:rsid w:val="19AF388C"/>
    <w:rsid w:val="19BF413C"/>
    <w:rsid w:val="19EC2827"/>
    <w:rsid w:val="19F81081"/>
    <w:rsid w:val="19FB96E3"/>
    <w:rsid w:val="1A2A15A2"/>
    <w:rsid w:val="1A3409BA"/>
    <w:rsid w:val="1A420699"/>
    <w:rsid w:val="1A460158"/>
    <w:rsid w:val="1A4F6F20"/>
    <w:rsid w:val="1A564145"/>
    <w:rsid w:val="1A921D7C"/>
    <w:rsid w:val="1AA82C77"/>
    <w:rsid w:val="1AAC1FB7"/>
    <w:rsid w:val="1AAE035C"/>
    <w:rsid w:val="1ACB068F"/>
    <w:rsid w:val="1ADE683C"/>
    <w:rsid w:val="1AEE97C9"/>
    <w:rsid w:val="1B630BBC"/>
    <w:rsid w:val="1B776A68"/>
    <w:rsid w:val="1B83048A"/>
    <w:rsid w:val="1B8B06FB"/>
    <w:rsid w:val="1B8F3DB2"/>
    <w:rsid w:val="1BDC4CEC"/>
    <w:rsid w:val="1BED6F2E"/>
    <w:rsid w:val="1C054E31"/>
    <w:rsid w:val="1C33473D"/>
    <w:rsid w:val="1C7B4336"/>
    <w:rsid w:val="1CAD0D0F"/>
    <w:rsid w:val="1CCC4B92"/>
    <w:rsid w:val="1CCE7662"/>
    <w:rsid w:val="1CDC0B3F"/>
    <w:rsid w:val="1CDF6673"/>
    <w:rsid w:val="1CF42CA9"/>
    <w:rsid w:val="1D0FF220"/>
    <w:rsid w:val="1D1F2F14"/>
    <w:rsid w:val="1D473EA8"/>
    <w:rsid w:val="1D5232E9"/>
    <w:rsid w:val="1D570900"/>
    <w:rsid w:val="1D9F570E"/>
    <w:rsid w:val="1DE52980"/>
    <w:rsid w:val="1DEF71B8"/>
    <w:rsid w:val="1E146D3B"/>
    <w:rsid w:val="1E2217D8"/>
    <w:rsid w:val="1E51534F"/>
    <w:rsid w:val="1E573D4C"/>
    <w:rsid w:val="1E666FDD"/>
    <w:rsid w:val="1E966DDD"/>
    <w:rsid w:val="1E9A18CE"/>
    <w:rsid w:val="1EBE86B6"/>
    <w:rsid w:val="1ECFD007"/>
    <w:rsid w:val="1EDF1228"/>
    <w:rsid w:val="1EE93F77"/>
    <w:rsid w:val="1F05006D"/>
    <w:rsid w:val="1F361357"/>
    <w:rsid w:val="1F416122"/>
    <w:rsid w:val="1F4C7776"/>
    <w:rsid w:val="1F4E796B"/>
    <w:rsid w:val="1F542020"/>
    <w:rsid w:val="1F6F065E"/>
    <w:rsid w:val="1F882DFC"/>
    <w:rsid w:val="1F8D1F54"/>
    <w:rsid w:val="1FCB729D"/>
    <w:rsid w:val="1FD2426D"/>
    <w:rsid w:val="1FF7EB1A"/>
    <w:rsid w:val="1FFF500F"/>
    <w:rsid w:val="1FFFFB11"/>
    <w:rsid w:val="20062169"/>
    <w:rsid w:val="20476A09"/>
    <w:rsid w:val="20C242E2"/>
    <w:rsid w:val="20F52909"/>
    <w:rsid w:val="21075857"/>
    <w:rsid w:val="21091F11"/>
    <w:rsid w:val="21274A8D"/>
    <w:rsid w:val="213435D0"/>
    <w:rsid w:val="21386C61"/>
    <w:rsid w:val="21494A03"/>
    <w:rsid w:val="21515666"/>
    <w:rsid w:val="216043C0"/>
    <w:rsid w:val="216E446A"/>
    <w:rsid w:val="21736F42"/>
    <w:rsid w:val="21976AF2"/>
    <w:rsid w:val="21B420FA"/>
    <w:rsid w:val="21E67D41"/>
    <w:rsid w:val="21FA3791"/>
    <w:rsid w:val="22167F23"/>
    <w:rsid w:val="223C00C4"/>
    <w:rsid w:val="225114BD"/>
    <w:rsid w:val="22804455"/>
    <w:rsid w:val="229C358D"/>
    <w:rsid w:val="22C02AA3"/>
    <w:rsid w:val="22CD6D83"/>
    <w:rsid w:val="22EC5646"/>
    <w:rsid w:val="22FF24E0"/>
    <w:rsid w:val="230961F8"/>
    <w:rsid w:val="2349134C"/>
    <w:rsid w:val="235105CE"/>
    <w:rsid w:val="23735D67"/>
    <w:rsid w:val="23812740"/>
    <w:rsid w:val="238B4E5F"/>
    <w:rsid w:val="23A979DB"/>
    <w:rsid w:val="23E00E9D"/>
    <w:rsid w:val="23F77CA2"/>
    <w:rsid w:val="23FFB53A"/>
    <w:rsid w:val="24191BAC"/>
    <w:rsid w:val="241D051C"/>
    <w:rsid w:val="244860D4"/>
    <w:rsid w:val="24B53FFA"/>
    <w:rsid w:val="24E04C70"/>
    <w:rsid w:val="24E134A2"/>
    <w:rsid w:val="24E8008F"/>
    <w:rsid w:val="24E82E11"/>
    <w:rsid w:val="24F63A5D"/>
    <w:rsid w:val="250753E5"/>
    <w:rsid w:val="251D678D"/>
    <w:rsid w:val="25361FF1"/>
    <w:rsid w:val="2536529E"/>
    <w:rsid w:val="25657148"/>
    <w:rsid w:val="259759BA"/>
    <w:rsid w:val="25A1063C"/>
    <w:rsid w:val="25DB4DDF"/>
    <w:rsid w:val="25FA62CC"/>
    <w:rsid w:val="26103D41"/>
    <w:rsid w:val="26170C2C"/>
    <w:rsid w:val="2637BA7C"/>
    <w:rsid w:val="266F2B9B"/>
    <w:rsid w:val="26A2681B"/>
    <w:rsid w:val="26C568DA"/>
    <w:rsid w:val="26DB038C"/>
    <w:rsid w:val="26DB493C"/>
    <w:rsid w:val="26DB7EAB"/>
    <w:rsid w:val="26DC2D2F"/>
    <w:rsid w:val="27161CB8"/>
    <w:rsid w:val="2730304F"/>
    <w:rsid w:val="279863D2"/>
    <w:rsid w:val="27C82E5D"/>
    <w:rsid w:val="27D00C09"/>
    <w:rsid w:val="27EF6F7C"/>
    <w:rsid w:val="28011B94"/>
    <w:rsid w:val="289034E8"/>
    <w:rsid w:val="28A10C81"/>
    <w:rsid w:val="28E219C5"/>
    <w:rsid w:val="28F85103"/>
    <w:rsid w:val="29092F0D"/>
    <w:rsid w:val="292875F4"/>
    <w:rsid w:val="295D104C"/>
    <w:rsid w:val="2967305A"/>
    <w:rsid w:val="2970538A"/>
    <w:rsid w:val="2A2102CB"/>
    <w:rsid w:val="2A2B40D9"/>
    <w:rsid w:val="2A4468E8"/>
    <w:rsid w:val="2A4B7560"/>
    <w:rsid w:val="2A5306A1"/>
    <w:rsid w:val="2A581813"/>
    <w:rsid w:val="2A636193"/>
    <w:rsid w:val="2A64465C"/>
    <w:rsid w:val="2A7A3BD7"/>
    <w:rsid w:val="2AE93841"/>
    <w:rsid w:val="2AEE3648"/>
    <w:rsid w:val="2B033371"/>
    <w:rsid w:val="2B0F45C8"/>
    <w:rsid w:val="2B151462"/>
    <w:rsid w:val="2B703976"/>
    <w:rsid w:val="2B732DA8"/>
    <w:rsid w:val="2B779685"/>
    <w:rsid w:val="2BA61037"/>
    <w:rsid w:val="2BBB2C9D"/>
    <w:rsid w:val="2BD66AC4"/>
    <w:rsid w:val="2BFB29B5"/>
    <w:rsid w:val="2C072F7D"/>
    <w:rsid w:val="2C0803CD"/>
    <w:rsid w:val="2C6A447F"/>
    <w:rsid w:val="2C76BB6A"/>
    <w:rsid w:val="2D60068C"/>
    <w:rsid w:val="2D630BFB"/>
    <w:rsid w:val="2D7479D0"/>
    <w:rsid w:val="2D99461C"/>
    <w:rsid w:val="2DA99F38"/>
    <w:rsid w:val="2DB42C49"/>
    <w:rsid w:val="2DB7C539"/>
    <w:rsid w:val="2DDD4E88"/>
    <w:rsid w:val="2DE007D6"/>
    <w:rsid w:val="2E1B46D1"/>
    <w:rsid w:val="2E1C30BA"/>
    <w:rsid w:val="2E3879E1"/>
    <w:rsid w:val="2E48665F"/>
    <w:rsid w:val="2E5829A2"/>
    <w:rsid w:val="2E67296D"/>
    <w:rsid w:val="2EA367EC"/>
    <w:rsid w:val="2EA440F9"/>
    <w:rsid w:val="2EEA2F15"/>
    <w:rsid w:val="2F057EA8"/>
    <w:rsid w:val="2F2370C0"/>
    <w:rsid w:val="2F3E36CD"/>
    <w:rsid w:val="2F4737A5"/>
    <w:rsid w:val="2F485833"/>
    <w:rsid w:val="2F5C7FF7"/>
    <w:rsid w:val="2F6E0DA7"/>
    <w:rsid w:val="2FAC6889"/>
    <w:rsid w:val="2FD35415"/>
    <w:rsid w:val="2FF80E15"/>
    <w:rsid w:val="2FFD7F30"/>
    <w:rsid w:val="2FFF1BA9"/>
    <w:rsid w:val="2FFFD7DA"/>
    <w:rsid w:val="30006BD5"/>
    <w:rsid w:val="30506C8F"/>
    <w:rsid w:val="30970232"/>
    <w:rsid w:val="30E03A94"/>
    <w:rsid w:val="313A3321"/>
    <w:rsid w:val="314B20D2"/>
    <w:rsid w:val="31643065"/>
    <w:rsid w:val="31E218FC"/>
    <w:rsid w:val="322008DB"/>
    <w:rsid w:val="323C7DCD"/>
    <w:rsid w:val="326C67A3"/>
    <w:rsid w:val="32AD5347"/>
    <w:rsid w:val="32B827EB"/>
    <w:rsid w:val="32CE4D68"/>
    <w:rsid w:val="32D86506"/>
    <w:rsid w:val="32DA195F"/>
    <w:rsid w:val="32F10A57"/>
    <w:rsid w:val="32FC43B4"/>
    <w:rsid w:val="33044C2E"/>
    <w:rsid w:val="33595B98"/>
    <w:rsid w:val="33684523"/>
    <w:rsid w:val="33745910"/>
    <w:rsid w:val="337B23CF"/>
    <w:rsid w:val="337BD9E0"/>
    <w:rsid w:val="339C6C14"/>
    <w:rsid w:val="33A04957"/>
    <w:rsid w:val="33EB36F8"/>
    <w:rsid w:val="33F97AFF"/>
    <w:rsid w:val="340F2C26"/>
    <w:rsid w:val="345BCED1"/>
    <w:rsid w:val="346C65E7"/>
    <w:rsid w:val="347D07F4"/>
    <w:rsid w:val="350917E2"/>
    <w:rsid w:val="35823C32"/>
    <w:rsid w:val="358B3002"/>
    <w:rsid w:val="358F3395"/>
    <w:rsid w:val="35AE50D1"/>
    <w:rsid w:val="35D67453"/>
    <w:rsid w:val="35DC2546"/>
    <w:rsid w:val="35F86203"/>
    <w:rsid w:val="35FF9FE7"/>
    <w:rsid w:val="360B6C4E"/>
    <w:rsid w:val="361909F0"/>
    <w:rsid w:val="3635D2DB"/>
    <w:rsid w:val="36541A28"/>
    <w:rsid w:val="36624145"/>
    <w:rsid w:val="366E09C9"/>
    <w:rsid w:val="369A2841"/>
    <w:rsid w:val="369F3CD4"/>
    <w:rsid w:val="36BD75CE"/>
    <w:rsid w:val="371050B8"/>
    <w:rsid w:val="37432BA4"/>
    <w:rsid w:val="374A0972"/>
    <w:rsid w:val="376712E7"/>
    <w:rsid w:val="376FB6CC"/>
    <w:rsid w:val="37751BBC"/>
    <w:rsid w:val="377685B1"/>
    <w:rsid w:val="379A16BD"/>
    <w:rsid w:val="37BB2163"/>
    <w:rsid w:val="37CF47B6"/>
    <w:rsid w:val="37D5281F"/>
    <w:rsid w:val="37D56575"/>
    <w:rsid w:val="37DB5EC6"/>
    <w:rsid w:val="37DC7A31"/>
    <w:rsid w:val="37DF20C4"/>
    <w:rsid w:val="37E251BE"/>
    <w:rsid w:val="37E66B23"/>
    <w:rsid w:val="37E7CBC1"/>
    <w:rsid w:val="37E82428"/>
    <w:rsid w:val="37E868CC"/>
    <w:rsid w:val="37F791B1"/>
    <w:rsid w:val="37FFFE50"/>
    <w:rsid w:val="38201673"/>
    <w:rsid w:val="38237567"/>
    <w:rsid w:val="382471D8"/>
    <w:rsid w:val="3837038B"/>
    <w:rsid w:val="38372F5C"/>
    <w:rsid w:val="385C6972"/>
    <w:rsid w:val="389A55DB"/>
    <w:rsid w:val="38C22C79"/>
    <w:rsid w:val="38DFC7EF"/>
    <w:rsid w:val="393613E5"/>
    <w:rsid w:val="39424B74"/>
    <w:rsid w:val="395F496C"/>
    <w:rsid w:val="396E1053"/>
    <w:rsid w:val="397A08A5"/>
    <w:rsid w:val="39AD9AB2"/>
    <w:rsid w:val="39B82AB1"/>
    <w:rsid w:val="39BB91F0"/>
    <w:rsid w:val="39C69CB1"/>
    <w:rsid w:val="39CF674E"/>
    <w:rsid w:val="3A0F57EA"/>
    <w:rsid w:val="3A330458"/>
    <w:rsid w:val="3A6A0CCC"/>
    <w:rsid w:val="3A724344"/>
    <w:rsid w:val="3A83468A"/>
    <w:rsid w:val="3AAB0B9B"/>
    <w:rsid w:val="3AC3717D"/>
    <w:rsid w:val="3AD969A0"/>
    <w:rsid w:val="3AFD5CFA"/>
    <w:rsid w:val="3B273398"/>
    <w:rsid w:val="3B4915F5"/>
    <w:rsid w:val="3B570F2C"/>
    <w:rsid w:val="3B633EE6"/>
    <w:rsid w:val="3B678EC1"/>
    <w:rsid w:val="3B7FC6C6"/>
    <w:rsid w:val="3BB555C6"/>
    <w:rsid w:val="3BBFFBB1"/>
    <w:rsid w:val="3BDE9154"/>
    <w:rsid w:val="3BEF9F7A"/>
    <w:rsid w:val="3BFDC1BC"/>
    <w:rsid w:val="3BFE4996"/>
    <w:rsid w:val="3BFF40E0"/>
    <w:rsid w:val="3C0E1025"/>
    <w:rsid w:val="3C1A2DCC"/>
    <w:rsid w:val="3C312091"/>
    <w:rsid w:val="3C3711A0"/>
    <w:rsid w:val="3C373913"/>
    <w:rsid w:val="3C55BB14"/>
    <w:rsid w:val="3C69674F"/>
    <w:rsid w:val="3C6E0CE2"/>
    <w:rsid w:val="3C9F030F"/>
    <w:rsid w:val="3CBE05CE"/>
    <w:rsid w:val="3CCB246B"/>
    <w:rsid w:val="3D0B5678"/>
    <w:rsid w:val="3D23425F"/>
    <w:rsid w:val="3D4C7F20"/>
    <w:rsid w:val="3D510A70"/>
    <w:rsid w:val="3D531BD8"/>
    <w:rsid w:val="3D567A39"/>
    <w:rsid w:val="3D712168"/>
    <w:rsid w:val="3D7C5FE7"/>
    <w:rsid w:val="3D7CA603"/>
    <w:rsid w:val="3DCC6B68"/>
    <w:rsid w:val="3DD75419"/>
    <w:rsid w:val="3DFFBC38"/>
    <w:rsid w:val="3E1B0F93"/>
    <w:rsid w:val="3E5D1061"/>
    <w:rsid w:val="3E603F0A"/>
    <w:rsid w:val="3E6350CC"/>
    <w:rsid w:val="3E9D4E72"/>
    <w:rsid w:val="3E9E6A1F"/>
    <w:rsid w:val="3EA44A09"/>
    <w:rsid w:val="3EB38693"/>
    <w:rsid w:val="3ECC7609"/>
    <w:rsid w:val="3EF93162"/>
    <w:rsid w:val="3EFBDE91"/>
    <w:rsid w:val="3F0861ED"/>
    <w:rsid w:val="3F1B9416"/>
    <w:rsid w:val="3F1DB58D"/>
    <w:rsid w:val="3F222FE0"/>
    <w:rsid w:val="3F29D09D"/>
    <w:rsid w:val="3F3BCFA0"/>
    <w:rsid w:val="3F465E11"/>
    <w:rsid w:val="3F46EDC8"/>
    <w:rsid w:val="3F49778D"/>
    <w:rsid w:val="3F659F57"/>
    <w:rsid w:val="3F7A8AD6"/>
    <w:rsid w:val="3F7C3854"/>
    <w:rsid w:val="3F7DC8EC"/>
    <w:rsid w:val="3F7E4320"/>
    <w:rsid w:val="3F7EA949"/>
    <w:rsid w:val="3F939827"/>
    <w:rsid w:val="3FBEBA51"/>
    <w:rsid w:val="3FC810AC"/>
    <w:rsid w:val="3FDC6C73"/>
    <w:rsid w:val="3FDEC9F5"/>
    <w:rsid w:val="3FDF4418"/>
    <w:rsid w:val="3FDFA922"/>
    <w:rsid w:val="3FEBA76A"/>
    <w:rsid w:val="3FEC482B"/>
    <w:rsid w:val="3FEF4261"/>
    <w:rsid w:val="3FF8E492"/>
    <w:rsid w:val="3FFB8801"/>
    <w:rsid w:val="3FFF0893"/>
    <w:rsid w:val="3FFF3E0E"/>
    <w:rsid w:val="40044CA3"/>
    <w:rsid w:val="40072194"/>
    <w:rsid w:val="402F009C"/>
    <w:rsid w:val="40624EF6"/>
    <w:rsid w:val="40671125"/>
    <w:rsid w:val="40742CC1"/>
    <w:rsid w:val="407E7DCE"/>
    <w:rsid w:val="40900279"/>
    <w:rsid w:val="409E1999"/>
    <w:rsid w:val="40A22EBF"/>
    <w:rsid w:val="40BE466E"/>
    <w:rsid w:val="40C41559"/>
    <w:rsid w:val="40C8729B"/>
    <w:rsid w:val="40CB1D5D"/>
    <w:rsid w:val="40FF4D48"/>
    <w:rsid w:val="411B561D"/>
    <w:rsid w:val="41250249"/>
    <w:rsid w:val="412D10FA"/>
    <w:rsid w:val="413C5593"/>
    <w:rsid w:val="419E09E1"/>
    <w:rsid w:val="41C072C4"/>
    <w:rsid w:val="420460B1"/>
    <w:rsid w:val="422C5607"/>
    <w:rsid w:val="422E1FA9"/>
    <w:rsid w:val="42593699"/>
    <w:rsid w:val="42882D2E"/>
    <w:rsid w:val="428B2A4F"/>
    <w:rsid w:val="429C0C25"/>
    <w:rsid w:val="42A20F87"/>
    <w:rsid w:val="42A338A7"/>
    <w:rsid w:val="43210CDB"/>
    <w:rsid w:val="435D2AB3"/>
    <w:rsid w:val="439671DC"/>
    <w:rsid w:val="43A43E0B"/>
    <w:rsid w:val="43E819D5"/>
    <w:rsid w:val="43EC0986"/>
    <w:rsid w:val="43F32881"/>
    <w:rsid w:val="44452751"/>
    <w:rsid w:val="448160DE"/>
    <w:rsid w:val="44857BE4"/>
    <w:rsid w:val="44CC44F5"/>
    <w:rsid w:val="44CD1324"/>
    <w:rsid w:val="44D04970"/>
    <w:rsid w:val="44DD0E3B"/>
    <w:rsid w:val="44DF1057"/>
    <w:rsid w:val="44E54453"/>
    <w:rsid w:val="450E5498"/>
    <w:rsid w:val="45221EC2"/>
    <w:rsid w:val="45412D37"/>
    <w:rsid w:val="45602A50"/>
    <w:rsid w:val="458C52A1"/>
    <w:rsid w:val="459736E0"/>
    <w:rsid w:val="45A12A1F"/>
    <w:rsid w:val="45C90F49"/>
    <w:rsid w:val="45E36925"/>
    <w:rsid w:val="45E37B58"/>
    <w:rsid w:val="45EA1A61"/>
    <w:rsid w:val="45FA2B93"/>
    <w:rsid w:val="45FC4415"/>
    <w:rsid w:val="45FEF727"/>
    <w:rsid w:val="46181376"/>
    <w:rsid w:val="46193DD2"/>
    <w:rsid w:val="46364CA7"/>
    <w:rsid w:val="464C19A5"/>
    <w:rsid w:val="465D0DA4"/>
    <w:rsid w:val="469E22EF"/>
    <w:rsid w:val="46A572C7"/>
    <w:rsid w:val="46BE763A"/>
    <w:rsid w:val="46CD7EB5"/>
    <w:rsid w:val="46E464B1"/>
    <w:rsid w:val="46EE59A3"/>
    <w:rsid w:val="46FA6014"/>
    <w:rsid w:val="47022DDB"/>
    <w:rsid w:val="470F0543"/>
    <w:rsid w:val="473CE391"/>
    <w:rsid w:val="476B6BD2"/>
    <w:rsid w:val="477B3701"/>
    <w:rsid w:val="47894117"/>
    <w:rsid w:val="478B1022"/>
    <w:rsid w:val="47906638"/>
    <w:rsid w:val="47961EA1"/>
    <w:rsid w:val="47AD0F98"/>
    <w:rsid w:val="47AD71EA"/>
    <w:rsid w:val="47BB89FD"/>
    <w:rsid w:val="47D613CB"/>
    <w:rsid w:val="47DE11EE"/>
    <w:rsid w:val="47E70571"/>
    <w:rsid w:val="482A4C90"/>
    <w:rsid w:val="48487415"/>
    <w:rsid w:val="484D62D8"/>
    <w:rsid w:val="485673C8"/>
    <w:rsid w:val="48D3302F"/>
    <w:rsid w:val="48E82765"/>
    <w:rsid w:val="48FF75D2"/>
    <w:rsid w:val="492B1902"/>
    <w:rsid w:val="49437FED"/>
    <w:rsid w:val="4970227E"/>
    <w:rsid w:val="49AE2DA6"/>
    <w:rsid w:val="49B7E4B5"/>
    <w:rsid w:val="4A1B48DF"/>
    <w:rsid w:val="4A2A68D0"/>
    <w:rsid w:val="4A5D0A54"/>
    <w:rsid w:val="4A7C09A8"/>
    <w:rsid w:val="4A7FD875"/>
    <w:rsid w:val="4A8F2BD7"/>
    <w:rsid w:val="4ABD5996"/>
    <w:rsid w:val="4AC52021"/>
    <w:rsid w:val="4AF64A60"/>
    <w:rsid w:val="4B4A341A"/>
    <w:rsid w:val="4B677B2F"/>
    <w:rsid w:val="4B90799F"/>
    <w:rsid w:val="4BAB14CA"/>
    <w:rsid w:val="4BEA14D5"/>
    <w:rsid w:val="4BFE24B2"/>
    <w:rsid w:val="4C0D2006"/>
    <w:rsid w:val="4C286E40"/>
    <w:rsid w:val="4C455C43"/>
    <w:rsid w:val="4C55054E"/>
    <w:rsid w:val="4C6F0F12"/>
    <w:rsid w:val="4C934C01"/>
    <w:rsid w:val="4C96639C"/>
    <w:rsid w:val="4C9B3B4E"/>
    <w:rsid w:val="4CBC3B05"/>
    <w:rsid w:val="4CDA1B69"/>
    <w:rsid w:val="4D39745F"/>
    <w:rsid w:val="4D772DCB"/>
    <w:rsid w:val="4D970721"/>
    <w:rsid w:val="4D9979D8"/>
    <w:rsid w:val="4DAFF802"/>
    <w:rsid w:val="4DDC6BC5"/>
    <w:rsid w:val="4E1402DE"/>
    <w:rsid w:val="4E4C73A3"/>
    <w:rsid w:val="4E641F1A"/>
    <w:rsid w:val="4E6F3F3D"/>
    <w:rsid w:val="4ECF1271"/>
    <w:rsid w:val="4ED25E5C"/>
    <w:rsid w:val="4EDA5AAA"/>
    <w:rsid w:val="4EF86CC0"/>
    <w:rsid w:val="4EF94AC3"/>
    <w:rsid w:val="4F1639D2"/>
    <w:rsid w:val="4F3C4B90"/>
    <w:rsid w:val="4F936CC6"/>
    <w:rsid w:val="4F9735BA"/>
    <w:rsid w:val="4F9A62A6"/>
    <w:rsid w:val="4F9F1B0F"/>
    <w:rsid w:val="4FB749F0"/>
    <w:rsid w:val="4FB8497E"/>
    <w:rsid w:val="4FBFC979"/>
    <w:rsid w:val="4FC71561"/>
    <w:rsid w:val="4FD33212"/>
    <w:rsid w:val="4FD73056"/>
    <w:rsid w:val="4FDC17DF"/>
    <w:rsid w:val="4FE44618"/>
    <w:rsid w:val="4FF30539"/>
    <w:rsid w:val="4FF57773"/>
    <w:rsid w:val="4FF9A782"/>
    <w:rsid w:val="4FFB7226"/>
    <w:rsid w:val="4FFD3F23"/>
    <w:rsid w:val="501F49FD"/>
    <w:rsid w:val="502A5888"/>
    <w:rsid w:val="503E4E84"/>
    <w:rsid w:val="504B393E"/>
    <w:rsid w:val="505550D7"/>
    <w:rsid w:val="5074270E"/>
    <w:rsid w:val="50744D49"/>
    <w:rsid w:val="507B21F4"/>
    <w:rsid w:val="50835A1F"/>
    <w:rsid w:val="50A7016E"/>
    <w:rsid w:val="50AC6291"/>
    <w:rsid w:val="50EF43D0"/>
    <w:rsid w:val="50FC089B"/>
    <w:rsid w:val="50FC97ED"/>
    <w:rsid w:val="512621FC"/>
    <w:rsid w:val="51713BAA"/>
    <w:rsid w:val="517D56D5"/>
    <w:rsid w:val="51812DB4"/>
    <w:rsid w:val="5184518E"/>
    <w:rsid w:val="51D23526"/>
    <w:rsid w:val="51E66682"/>
    <w:rsid w:val="5229185E"/>
    <w:rsid w:val="52432C25"/>
    <w:rsid w:val="5268443A"/>
    <w:rsid w:val="52AD5B3E"/>
    <w:rsid w:val="52C222A5"/>
    <w:rsid w:val="52DF320A"/>
    <w:rsid w:val="52F10B4A"/>
    <w:rsid w:val="52F5521E"/>
    <w:rsid w:val="52FDB3B4"/>
    <w:rsid w:val="530028C4"/>
    <w:rsid w:val="531142D2"/>
    <w:rsid w:val="531913A2"/>
    <w:rsid w:val="531F0FF7"/>
    <w:rsid w:val="53236894"/>
    <w:rsid w:val="53B378F1"/>
    <w:rsid w:val="53BABE2C"/>
    <w:rsid w:val="53FB3CD3"/>
    <w:rsid w:val="541A1764"/>
    <w:rsid w:val="547643A4"/>
    <w:rsid w:val="547EEA6A"/>
    <w:rsid w:val="54882B71"/>
    <w:rsid w:val="549F610D"/>
    <w:rsid w:val="54C85664"/>
    <w:rsid w:val="54DF6509"/>
    <w:rsid w:val="54EF976B"/>
    <w:rsid w:val="550D55D1"/>
    <w:rsid w:val="55213B45"/>
    <w:rsid w:val="552F0DC7"/>
    <w:rsid w:val="553158A2"/>
    <w:rsid w:val="553D4774"/>
    <w:rsid w:val="554D777B"/>
    <w:rsid w:val="557C720E"/>
    <w:rsid w:val="559F18EC"/>
    <w:rsid w:val="55A95CB8"/>
    <w:rsid w:val="55BF0129"/>
    <w:rsid w:val="55F33A86"/>
    <w:rsid w:val="55FE03D8"/>
    <w:rsid w:val="55FF402D"/>
    <w:rsid w:val="55FF651E"/>
    <w:rsid w:val="561019BC"/>
    <w:rsid w:val="565F5B54"/>
    <w:rsid w:val="56773230"/>
    <w:rsid w:val="567C24C2"/>
    <w:rsid w:val="567FE056"/>
    <w:rsid w:val="56853574"/>
    <w:rsid w:val="568850AA"/>
    <w:rsid w:val="569D25CB"/>
    <w:rsid w:val="56A33C92"/>
    <w:rsid w:val="56C87B9D"/>
    <w:rsid w:val="56E36785"/>
    <w:rsid w:val="574A05B2"/>
    <w:rsid w:val="576C677A"/>
    <w:rsid w:val="57ABE97A"/>
    <w:rsid w:val="57B3FD01"/>
    <w:rsid w:val="57EF2F07"/>
    <w:rsid w:val="57EF4CB5"/>
    <w:rsid w:val="57FFF798"/>
    <w:rsid w:val="58047A99"/>
    <w:rsid w:val="58472D43"/>
    <w:rsid w:val="58AAFE99"/>
    <w:rsid w:val="58C16652"/>
    <w:rsid w:val="58D95C71"/>
    <w:rsid w:val="59036C6A"/>
    <w:rsid w:val="59306CDC"/>
    <w:rsid w:val="594827D5"/>
    <w:rsid w:val="59505ACE"/>
    <w:rsid w:val="595079D6"/>
    <w:rsid w:val="595735A2"/>
    <w:rsid w:val="59655912"/>
    <w:rsid w:val="59AF6DF2"/>
    <w:rsid w:val="59AFC974"/>
    <w:rsid w:val="59CD62FE"/>
    <w:rsid w:val="59D465F5"/>
    <w:rsid w:val="59D800F7"/>
    <w:rsid w:val="59ED2925"/>
    <w:rsid w:val="59F741B6"/>
    <w:rsid w:val="5A221372"/>
    <w:rsid w:val="5A803764"/>
    <w:rsid w:val="5A81003E"/>
    <w:rsid w:val="5ABF4872"/>
    <w:rsid w:val="5AD7882D"/>
    <w:rsid w:val="5AE27845"/>
    <w:rsid w:val="5AEF139E"/>
    <w:rsid w:val="5AF744DA"/>
    <w:rsid w:val="5AF8B1E8"/>
    <w:rsid w:val="5AF947C9"/>
    <w:rsid w:val="5AFD3FFA"/>
    <w:rsid w:val="5B33135D"/>
    <w:rsid w:val="5B5B0B94"/>
    <w:rsid w:val="5B7EE6A5"/>
    <w:rsid w:val="5B9BFEAE"/>
    <w:rsid w:val="5BA83A36"/>
    <w:rsid w:val="5BDCAF1C"/>
    <w:rsid w:val="5BDE39BF"/>
    <w:rsid w:val="5BDF643E"/>
    <w:rsid w:val="5BE90261"/>
    <w:rsid w:val="5BED529B"/>
    <w:rsid w:val="5C17573F"/>
    <w:rsid w:val="5C4035E0"/>
    <w:rsid w:val="5C683A4F"/>
    <w:rsid w:val="5C73BDFD"/>
    <w:rsid w:val="5C7C42E4"/>
    <w:rsid w:val="5C9F08E2"/>
    <w:rsid w:val="5CB44EB9"/>
    <w:rsid w:val="5CCA3EEF"/>
    <w:rsid w:val="5CDF3012"/>
    <w:rsid w:val="5CF977E4"/>
    <w:rsid w:val="5D5B70A6"/>
    <w:rsid w:val="5D67B3B1"/>
    <w:rsid w:val="5D7D8586"/>
    <w:rsid w:val="5D947B2E"/>
    <w:rsid w:val="5D996534"/>
    <w:rsid w:val="5DA52CD8"/>
    <w:rsid w:val="5DB744C7"/>
    <w:rsid w:val="5DEF1E11"/>
    <w:rsid w:val="5E9F0293"/>
    <w:rsid w:val="5EA52572"/>
    <w:rsid w:val="5EB78BDC"/>
    <w:rsid w:val="5EB82887"/>
    <w:rsid w:val="5EBDBD16"/>
    <w:rsid w:val="5EDF525F"/>
    <w:rsid w:val="5EFF7ED4"/>
    <w:rsid w:val="5F1C0EB4"/>
    <w:rsid w:val="5F2128FB"/>
    <w:rsid w:val="5F5521EA"/>
    <w:rsid w:val="5F587C40"/>
    <w:rsid w:val="5F5EF1B2"/>
    <w:rsid w:val="5F6FB310"/>
    <w:rsid w:val="5F7BB19F"/>
    <w:rsid w:val="5F7EE8AF"/>
    <w:rsid w:val="5F8022D9"/>
    <w:rsid w:val="5F8637E8"/>
    <w:rsid w:val="5F922AF6"/>
    <w:rsid w:val="5F9A327F"/>
    <w:rsid w:val="5FAF9B0C"/>
    <w:rsid w:val="5FBE66BA"/>
    <w:rsid w:val="5FBF5989"/>
    <w:rsid w:val="5FCDDD3D"/>
    <w:rsid w:val="5FCE9EEA"/>
    <w:rsid w:val="5FDE7C52"/>
    <w:rsid w:val="5FDFFEBC"/>
    <w:rsid w:val="5FEB31D0"/>
    <w:rsid w:val="5FF781ED"/>
    <w:rsid w:val="5FF7ED41"/>
    <w:rsid w:val="5FFD719E"/>
    <w:rsid w:val="5FFE018B"/>
    <w:rsid w:val="5FFEB3A2"/>
    <w:rsid w:val="5FFFC719"/>
    <w:rsid w:val="5FFFF829"/>
    <w:rsid w:val="60341DFF"/>
    <w:rsid w:val="607C109C"/>
    <w:rsid w:val="607C1252"/>
    <w:rsid w:val="609C5056"/>
    <w:rsid w:val="60A24FBB"/>
    <w:rsid w:val="60AB0AE3"/>
    <w:rsid w:val="60CAFE72"/>
    <w:rsid w:val="60FE6010"/>
    <w:rsid w:val="610619ED"/>
    <w:rsid w:val="611C241C"/>
    <w:rsid w:val="617D0A50"/>
    <w:rsid w:val="61D92DE6"/>
    <w:rsid w:val="61DED416"/>
    <w:rsid w:val="61FD3AE5"/>
    <w:rsid w:val="62083543"/>
    <w:rsid w:val="62195745"/>
    <w:rsid w:val="6224C446"/>
    <w:rsid w:val="623F2C6D"/>
    <w:rsid w:val="62404C02"/>
    <w:rsid w:val="624D71A8"/>
    <w:rsid w:val="62514EEA"/>
    <w:rsid w:val="625B7B17"/>
    <w:rsid w:val="626D24DE"/>
    <w:rsid w:val="62894684"/>
    <w:rsid w:val="62981606"/>
    <w:rsid w:val="629B6165"/>
    <w:rsid w:val="62DD22DA"/>
    <w:rsid w:val="63016E98"/>
    <w:rsid w:val="63283A59"/>
    <w:rsid w:val="632E7E4C"/>
    <w:rsid w:val="636522D0"/>
    <w:rsid w:val="637F1B58"/>
    <w:rsid w:val="63C92321"/>
    <w:rsid w:val="63DF4774"/>
    <w:rsid w:val="63FFF8DB"/>
    <w:rsid w:val="648A0240"/>
    <w:rsid w:val="64A32268"/>
    <w:rsid w:val="64FF5A4C"/>
    <w:rsid w:val="656327E9"/>
    <w:rsid w:val="6573E3D3"/>
    <w:rsid w:val="657B62F9"/>
    <w:rsid w:val="657F7B04"/>
    <w:rsid w:val="65D7505D"/>
    <w:rsid w:val="65DC3555"/>
    <w:rsid w:val="65E21C31"/>
    <w:rsid w:val="65ECEE9C"/>
    <w:rsid w:val="65F55BA8"/>
    <w:rsid w:val="65F63CF3"/>
    <w:rsid w:val="65FC207D"/>
    <w:rsid w:val="65FE289A"/>
    <w:rsid w:val="65FFFD79"/>
    <w:rsid w:val="66267257"/>
    <w:rsid w:val="663F14FE"/>
    <w:rsid w:val="66937CE1"/>
    <w:rsid w:val="66B21CD0"/>
    <w:rsid w:val="66EA100C"/>
    <w:rsid w:val="66F14577"/>
    <w:rsid w:val="6735657C"/>
    <w:rsid w:val="67684380"/>
    <w:rsid w:val="677B6565"/>
    <w:rsid w:val="67BB2212"/>
    <w:rsid w:val="67BC6137"/>
    <w:rsid w:val="67BC66B2"/>
    <w:rsid w:val="67BDACCA"/>
    <w:rsid w:val="67C64436"/>
    <w:rsid w:val="67D77C40"/>
    <w:rsid w:val="67FDF70C"/>
    <w:rsid w:val="68166636"/>
    <w:rsid w:val="68336E40"/>
    <w:rsid w:val="685F6EB3"/>
    <w:rsid w:val="687A4A6F"/>
    <w:rsid w:val="688D6DD8"/>
    <w:rsid w:val="68951A5F"/>
    <w:rsid w:val="68B5103C"/>
    <w:rsid w:val="68D66149"/>
    <w:rsid w:val="696066A9"/>
    <w:rsid w:val="69895CD7"/>
    <w:rsid w:val="69901FCA"/>
    <w:rsid w:val="69D70A46"/>
    <w:rsid w:val="69D9075E"/>
    <w:rsid w:val="69DA6673"/>
    <w:rsid w:val="69EE78DD"/>
    <w:rsid w:val="6A072332"/>
    <w:rsid w:val="6A0F719E"/>
    <w:rsid w:val="6A1119AC"/>
    <w:rsid w:val="6A1646A3"/>
    <w:rsid w:val="6A403ED9"/>
    <w:rsid w:val="6A58493C"/>
    <w:rsid w:val="6A5A74DA"/>
    <w:rsid w:val="6A7A265C"/>
    <w:rsid w:val="6A815C41"/>
    <w:rsid w:val="6A982DEB"/>
    <w:rsid w:val="6A9F07BD"/>
    <w:rsid w:val="6AA66AB5"/>
    <w:rsid w:val="6AAC5C3C"/>
    <w:rsid w:val="6AC975E8"/>
    <w:rsid w:val="6ADA6134"/>
    <w:rsid w:val="6AE41DB7"/>
    <w:rsid w:val="6B563571"/>
    <w:rsid w:val="6B5B0DCC"/>
    <w:rsid w:val="6B6E08BB"/>
    <w:rsid w:val="6B6F018F"/>
    <w:rsid w:val="6B7F919F"/>
    <w:rsid w:val="6B8F69CA"/>
    <w:rsid w:val="6BA13C28"/>
    <w:rsid w:val="6BAE6F0A"/>
    <w:rsid w:val="6BB7C33B"/>
    <w:rsid w:val="6BDAA1CB"/>
    <w:rsid w:val="6BDB9E97"/>
    <w:rsid w:val="6BE7410A"/>
    <w:rsid w:val="6BEF647C"/>
    <w:rsid w:val="6BF80717"/>
    <w:rsid w:val="6BFB7D7A"/>
    <w:rsid w:val="6BFC6E54"/>
    <w:rsid w:val="6BFF8B7F"/>
    <w:rsid w:val="6BFFF9F1"/>
    <w:rsid w:val="6C1CC7BF"/>
    <w:rsid w:val="6C4746FB"/>
    <w:rsid w:val="6CB10BF2"/>
    <w:rsid w:val="6CBF4531"/>
    <w:rsid w:val="6CDE580B"/>
    <w:rsid w:val="6CEECC61"/>
    <w:rsid w:val="6D047526"/>
    <w:rsid w:val="6D4F0278"/>
    <w:rsid w:val="6D6D1F81"/>
    <w:rsid w:val="6D740571"/>
    <w:rsid w:val="6DA87988"/>
    <w:rsid w:val="6DB1683D"/>
    <w:rsid w:val="6DCB3A6F"/>
    <w:rsid w:val="6DD24A05"/>
    <w:rsid w:val="6DDF392B"/>
    <w:rsid w:val="6DE37CA5"/>
    <w:rsid w:val="6DEE0AAA"/>
    <w:rsid w:val="6E1F17AD"/>
    <w:rsid w:val="6E5F7D0F"/>
    <w:rsid w:val="6E75141C"/>
    <w:rsid w:val="6E7F0016"/>
    <w:rsid w:val="6E7F7C1D"/>
    <w:rsid w:val="6EB65494"/>
    <w:rsid w:val="6EDF2EF5"/>
    <w:rsid w:val="6EFF6BEE"/>
    <w:rsid w:val="6F025213"/>
    <w:rsid w:val="6F0D3F9D"/>
    <w:rsid w:val="6F135451"/>
    <w:rsid w:val="6F32464E"/>
    <w:rsid w:val="6F440275"/>
    <w:rsid w:val="6F6779BF"/>
    <w:rsid w:val="6F76C36A"/>
    <w:rsid w:val="6F7A1CD9"/>
    <w:rsid w:val="6F7C5EAC"/>
    <w:rsid w:val="6F8B0D32"/>
    <w:rsid w:val="6F9D8414"/>
    <w:rsid w:val="6FB29C54"/>
    <w:rsid w:val="6FBC0A83"/>
    <w:rsid w:val="6FCF088D"/>
    <w:rsid w:val="6FD93E26"/>
    <w:rsid w:val="6FDAC878"/>
    <w:rsid w:val="6FDAF81D"/>
    <w:rsid w:val="6FDE7D56"/>
    <w:rsid w:val="6FDF0210"/>
    <w:rsid w:val="6FE63398"/>
    <w:rsid w:val="6FE71A95"/>
    <w:rsid w:val="6FE949B4"/>
    <w:rsid w:val="6FF99662"/>
    <w:rsid w:val="6FFB0C6B"/>
    <w:rsid w:val="6FFB5BF5"/>
    <w:rsid w:val="6FFBDA12"/>
    <w:rsid w:val="6FFEBE04"/>
    <w:rsid w:val="6FFEFE37"/>
    <w:rsid w:val="6FFF1443"/>
    <w:rsid w:val="6FFF4C4B"/>
    <w:rsid w:val="6FFF54C9"/>
    <w:rsid w:val="6FFF59E6"/>
    <w:rsid w:val="6FFF68E3"/>
    <w:rsid w:val="6FFFBC86"/>
    <w:rsid w:val="70207CAA"/>
    <w:rsid w:val="70241EE0"/>
    <w:rsid w:val="702C275E"/>
    <w:rsid w:val="70357BF9"/>
    <w:rsid w:val="70672630"/>
    <w:rsid w:val="70A566AB"/>
    <w:rsid w:val="70F869CD"/>
    <w:rsid w:val="70F86D26"/>
    <w:rsid w:val="70FF45FE"/>
    <w:rsid w:val="710475CC"/>
    <w:rsid w:val="71096990"/>
    <w:rsid w:val="7128128D"/>
    <w:rsid w:val="71364909"/>
    <w:rsid w:val="714300F4"/>
    <w:rsid w:val="714B7705"/>
    <w:rsid w:val="716ECA01"/>
    <w:rsid w:val="719C63DF"/>
    <w:rsid w:val="71B615C9"/>
    <w:rsid w:val="71B63E66"/>
    <w:rsid w:val="71EC078C"/>
    <w:rsid w:val="72301186"/>
    <w:rsid w:val="723D4B43"/>
    <w:rsid w:val="725A6447"/>
    <w:rsid w:val="727644F9"/>
    <w:rsid w:val="72F01BB6"/>
    <w:rsid w:val="72FB055A"/>
    <w:rsid w:val="730D5D09"/>
    <w:rsid w:val="731C29AB"/>
    <w:rsid w:val="73216213"/>
    <w:rsid w:val="73656E0A"/>
    <w:rsid w:val="737C4F39"/>
    <w:rsid w:val="738A0C66"/>
    <w:rsid w:val="73BB6668"/>
    <w:rsid w:val="73E63D73"/>
    <w:rsid w:val="73E6C0D1"/>
    <w:rsid w:val="73F5BE08"/>
    <w:rsid w:val="73FBA95D"/>
    <w:rsid w:val="73FDFFD6"/>
    <w:rsid w:val="73FF354D"/>
    <w:rsid w:val="74033B6B"/>
    <w:rsid w:val="74393A30"/>
    <w:rsid w:val="744245F4"/>
    <w:rsid w:val="74562D73"/>
    <w:rsid w:val="7457323E"/>
    <w:rsid w:val="74A54C22"/>
    <w:rsid w:val="74CE0232"/>
    <w:rsid w:val="74DB7AC1"/>
    <w:rsid w:val="74EF773F"/>
    <w:rsid w:val="74F6722B"/>
    <w:rsid w:val="74FE3782"/>
    <w:rsid w:val="75134281"/>
    <w:rsid w:val="754DB126"/>
    <w:rsid w:val="75524DAA"/>
    <w:rsid w:val="755A4626"/>
    <w:rsid w:val="755B4EE8"/>
    <w:rsid w:val="75BD4333"/>
    <w:rsid w:val="75BFFF81"/>
    <w:rsid w:val="75E13554"/>
    <w:rsid w:val="75EC5C91"/>
    <w:rsid w:val="75EFD645"/>
    <w:rsid w:val="75F303C2"/>
    <w:rsid w:val="75F6ACD7"/>
    <w:rsid w:val="760E43FB"/>
    <w:rsid w:val="761338CF"/>
    <w:rsid w:val="761E5D03"/>
    <w:rsid w:val="762A53DF"/>
    <w:rsid w:val="764A3ADC"/>
    <w:rsid w:val="765B3F2D"/>
    <w:rsid w:val="76731453"/>
    <w:rsid w:val="767F0A1D"/>
    <w:rsid w:val="7697F30B"/>
    <w:rsid w:val="76982C90"/>
    <w:rsid w:val="76BB076B"/>
    <w:rsid w:val="76C5391B"/>
    <w:rsid w:val="76DD4B47"/>
    <w:rsid w:val="76DDFB2C"/>
    <w:rsid w:val="76F8FEAE"/>
    <w:rsid w:val="77073972"/>
    <w:rsid w:val="7718792D"/>
    <w:rsid w:val="77403E53"/>
    <w:rsid w:val="77570FA8"/>
    <w:rsid w:val="776F54C8"/>
    <w:rsid w:val="777E6A24"/>
    <w:rsid w:val="779108EB"/>
    <w:rsid w:val="7795F43F"/>
    <w:rsid w:val="77A0211E"/>
    <w:rsid w:val="77A34190"/>
    <w:rsid w:val="77AB3FDB"/>
    <w:rsid w:val="77BB52AE"/>
    <w:rsid w:val="77D39F77"/>
    <w:rsid w:val="77D3CC90"/>
    <w:rsid w:val="77D7E741"/>
    <w:rsid w:val="77DB7435"/>
    <w:rsid w:val="77DE11DF"/>
    <w:rsid w:val="77DF1A28"/>
    <w:rsid w:val="77E3682C"/>
    <w:rsid w:val="77E61B9A"/>
    <w:rsid w:val="77E7888E"/>
    <w:rsid w:val="77ED2295"/>
    <w:rsid w:val="77EF3802"/>
    <w:rsid w:val="77F2AF42"/>
    <w:rsid w:val="77FEA335"/>
    <w:rsid w:val="77FF0F63"/>
    <w:rsid w:val="78322C70"/>
    <w:rsid w:val="784A620C"/>
    <w:rsid w:val="784C2381"/>
    <w:rsid w:val="7865175D"/>
    <w:rsid w:val="78874D6A"/>
    <w:rsid w:val="789E4930"/>
    <w:rsid w:val="78AA42BD"/>
    <w:rsid w:val="78D23F5A"/>
    <w:rsid w:val="78E1196C"/>
    <w:rsid w:val="78F62113"/>
    <w:rsid w:val="797B5C4F"/>
    <w:rsid w:val="79BC4EE7"/>
    <w:rsid w:val="79D060FF"/>
    <w:rsid w:val="79DF997F"/>
    <w:rsid w:val="79EF2DBA"/>
    <w:rsid w:val="79F3606F"/>
    <w:rsid w:val="79F4DBC9"/>
    <w:rsid w:val="79FE36D6"/>
    <w:rsid w:val="7A6A04A0"/>
    <w:rsid w:val="7A6B18FD"/>
    <w:rsid w:val="7A7391D8"/>
    <w:rsid w:val="7ABD2CC5"/>
    <w:rsid w:val="7ADBD6C2"/>
    <w:rsid w:val="7AE22B3E"/>
    <w:rsid w:val="7AE7DC2E"/>
    <w:rsid w:val="7AEB2575"/>
    <w:rsid w:val="7AF3BC8D"/>
    <w:rsid w:val="7AF3F90D"/>
    <w:rsid w:val="7AF9BA7D"/>
    <w:rsid w:val="7B0C6CB3"/>
    <w:rsid w:val="7B3E4126"/>
    <w:rsid w:val="7B5D6256"/>
    <w:rsid w:val="7B7498CE"/>
    <w:rsid w:val="7B944CB6"/>
    <w:rsid w:val="7B9719FA"/>
    <w:rsid w:val="7B9B449A"/>
    <w:rsid w:val="7BA07EF1"/>
    <w:rsid w:val="7BAA5FB1"/>
    <w:rsid w:val="7BAF3632"/>
    <w:rsid w:val="7BB6EB5A"/>
    <w:rsid w:val="7BBB110D"/>
    <w:rsid w:val="7BBB8E5D"/>
    <w:rsid w:val="7BBD8543"/>
    <w:rsid w:val="7BBF6CC2"/>
    <w:rsid w:val="7BBF901C"/>
    <w:rsid w:val="7BBF98C3"/>
    <w:rsid w:val="7BCE7867"/>
    <w:rsid w:val="7BCF4EF3"/>
    <w:rsid w:val="7BD5E65E"/>
    <w:rsid w:val="7BDEB05C"/>
    <w:rsid w:val="7BE92A89"/>
    <w:rsid w:val="7BF54C44"/>
    <w:rsid w:val="7BFAEB6D"/>
    <w:rsid w:val="7BFE4FF5"/>
    <w:rsid w:val="7BFEAEBA"/>
    <w:rsid w:val="7BFED7BB"/>
    <w:rsid w:val="7BFF4479"/>
    <w:rsid w:val="7BFF64A8"/>
    <w:rsid w:val="7BFF6BFB"/>
    <w:rsid w:val="7BFFE37E"/>
    <w:rsid w:val="7C016BE2"/>
    <w:rsid w:val="7C0861C2"/>
    <w:rsid w:val="7C365C2B"/>
    <w:rsid w:val="7C3CCFBF"/>
    <w:rsid w:val="7C5807CC"/>
    <w:rsid w:val="7C6FE10D"/>
    <w:rsid w:val="7C7A2DF9"/>
    <w:rsid w:val="7C9A2116"/>
    <w:rsid w:val="7CA852AF"/>
    <w:rsid w:val="7CBE4A4D"/>
    <w:rsid w:val="7CE64038"/>
    <w:rsid w:val="7CFBABE1"/>
    <w:rsid w:val="7CFF36D2"/>
    <w:rsid w:val="7D2F777E"/>
    <w:rsid w:val="7D3F2869"/>
    <w:rsid w:val="7D59469C"/>
    <w:rsid w:val="7D6075E7"/>
    <w:rsid w:val="7D6CCA8E"/>
    <w:rsid w:val="7D6DD6DC"/>
    <w:rsid w:val="7D771165"/>
    <w:rsid w:val="7D7FFD0D"/>
    <w:rsid w:val="7D8908F9"/>
    <w:rsid w:val="7D9DC679"/>
    <w:rsid w:val="7DA95783"/>
    <w:rsid w:val="7DABD165"/>
    <w:rsid w:val="7DAD500B"/>
    <w:rsid w:val="7DB39556"/>
    <w:rsid w:val="7DB93B8C"/>
    <w:rsid w:val="7DBBCBF5"/>
    <w:rsid w:val="7DBFEC53"/>
    <w:rsid w:val="7DCF61C6"/>
    <w:rsid w:val="7DD55C71"/>
    <w:rsid w:val="7DD991DD"/>
    <w:rsid w:val="7DDF1417"/>
    <w:rsid w:val="7DDFF93A"/>
    <w:rsid w:val="7DE5BBF3"/>
    <w:rsid w:val="7DE78960"/>
    <w:rsid w:val="7DEDD24F"/>
    <w:rsid w:val="7DEF0220"/>
    <w:rsid w:val="7DEF36B3"/>
    <w:rsid w:val="7DEF8696"/>
    <w:rsid w:val="7DF65156"/>
    <w:rsid w:val="7DF8AC6A"/>
    <w:rsid w:val="7DFB0AE9"/>
    <w:rsid w:val="7DFBB84D"/>
    <w:rsid w:val="7DFD6C42"/>
    <w:rsid w:val="7DFEB546"/>
    <w:rsid w:val="7DFF4214"/>
    <w:rsid w:val="7DFF4FBD"/>
    <w:rsid w:val="7DFF9575"/>
    <w:rsid w:val="7E34B36F"/>
    <w:rsid w:val="7E470AF8"/>
    <w:rsid w:val="7E57F6B9"/>
    <w:rsid w:val="7E7CF1F2"/>
    <w:rsid w:val="7E7DDD0F"/>
    <w:rsid w:val="7E7E8552"/>
    <w:rsid w:val="7E7F17CC"/>
    <w:rsid w:val="7E7FB819"/>
    <w:rsid w:val="7E7FDC31"/>
    <w:rsid w:val="7E996276"/>
    <w:rsid w:val="7E9F0C83"/>
    <w:rsid w:val="7E9F6A14"/>
    <w:rsid w:val="7EAA6C36"/>
    <w:rsid w:val="7EAB1728"/>
    <w:rsid w:val="7EB47804"/>
    <w:rsid w:val="7EBFC53E"/>
    <w:rsid w:val="7EBFE781"/>
    <w:rsid w:val="7EEBB9D1"/>
    <w:rsid w:val="7EED7BA4"/>
    <w:rsid w:val="7EEF2D23"/>
    <w:rsid w:val="7EF2A807"/>
    <w:rsid w:val="7EF5E173"/>
    <w:rsid w:val="7EF72DF4"/>
    <w:rsid w:val="7EF72FD8"/>
    <w:rsid w:val="7EFB5A3D"/>
    <w:rsid w:val="7EFD06E6"/>
    <w:rsid w:val="7EFF2C2C"/>
    <w:rsid w:val="7EFF9929"/>
    <w:rsid w:val="7F0C421B"/>
    <w:rsid w:val="7F13565B"/>
    <w:rsid w:val="7F1629A4"/>
    <w:rsid w:val="7F1C287F"/>
    <w:rsid w:val="7F272B5E"/>
    <w:rsid w:val="7F2FFE7D"/>
    <w:rsid w:val="7F3E706A"/>
    <w:rsid w:val="7F3F3D57"/>
    <w:rsid w:val="7F402117"/>
    <w:rsid w:val="7F5CB12E"/>
    <w:rsid w:val="7F5D1B0B"/>
    <w:rsid w:val="7F5F3900"/>
    <w:rsid w:val="7F5FE1C7"/>
    <w:rsid w:val="7F6D340D"/>
    <w:rsid w:val="7F6F9CEC"/>
    <w:rsid w:val="7F7459D7"/>
    <w:rsid w:val="7F770DF9"/>
    <w:rsid w:val="7F777AEF"/>
    <w:rsid w:val="7F79D970"/>
    <w:rsid w:val="7F7B4779"/>
    <w:rsid w:val="7F7BACDF"/>
    <w:rsid w:val="7F7D7468"/>
    <w:rsid w:val="7F7D9FA9"/>
    <w:rsid w:val="7F7F447B"/>
    <w:rsid w:val="7F7F9C9E"/>
    <w:rsid w:val="7F8C3055"/>
    <w:rsid w:val="7F8D0AD4"/>
    <w:rsid w:val="7F8F03DC"/>
    <w:rsid w:val="7F934ABA"/>
    <w:rsid w:val="7F9B3D14"/>
    <w:rsid w:val="7F9C88F3"/>
    <w:rsid w:val="7FA676E6"/>
    <w:rsid w:val="7FAF6372"/>
    <w:rsid w:val="7FB15A44"/>
    <w:rsid w:val="7FB9729D"/>
    <w:rsid w:val="7FBB7F85"/>
    <w:rsid w:val="7FBD1EB6"/>
    <w:rsid w:val="7FBD3EA7"/>
    <w:rsid w:val="7FBD5266"/>
    <w:rsid w:val="7FBD64BF"/>
    <w:rsid w:val="7FBF053F"/>
    <w:rsid w:val="7FC85B26"/>
    <w:rsid w:val="7FD86C38"/>
    <w:rsid w:val="7FDBE955"/>
    <w:rsid w:val="7FDF949B"/>
    <w:rsid w:val="7FE5E8DE"/>
    <w:rsid w:val="7FE79DB1"/>
    <w:rsid w:val="7FEE4542"/>
    <w:rsid w:val="7FEEBCB5"/>
    <w:rsid w:val="7FEF2F2A"/>
    <w:rsid w:val="7FEF5013"/>
    <w:rsid w:val="7FEF899F"/>
    <w:rsid w:val="7FEFEF86"/>
    <w:rsid w:val="7FFA5DE4"/>
    <w:rsid w:val="7FFAE971"/>
    <w:rsid w:val="7FFB6187"/>
    <w:rsid w:val="7FFB84E2"/>
    <w:rsid w:val="7FFC7A39"/>
    <w:rsid w:val="7FFD5E59"/>
    <w:rsid w:val="7FFE05A0"/>
    <w:rsid w:val="7FFE92F4"/>
    <w:rsid w:val="7FFF1371"/>
    <w:rsid w:val="7FFF65CF"/>
    <w:rsid w:val="7FFF709D"/>
    <w:rsid w:val="7FFF9CD5"/>
    <w:rsid w:val="7FFFCEAE"/>
    <w:rsid w:val="85DD5881"/>
    <w:rsid w:val="86D3552F"/>
    <w:rsid w:val="8AFF8079"/>
    <w:rsid w:val="8BDD93D1"/>
    <w:rsid w:val="8DB65A59"/>
    <w:rsid w:val="8F6CFB7C"/>
    <w:rsid w:val="925C0A6D"/>
    <w:rsid w:val="93FC336E"/>
    <w:rsid w:val="97BED3A7"/>
    <w:rsid w:val="97FA81FF"/>
    <w:rsid w:val="9AFD9E19"/>
    <w:rsid w:val="9BBFC5CB"/>
    <w:rsid w:val="9BFFE5BC"/>
    <w:rsid w:val="9CFF813C"/>
    <w:rsid w:val="9DFD6587"/>
    <w:rsid w:val="9E5F2DB8"/>
    <w:rsid w:val="9E766694"/>
    <w:rsid w:val="9E7B56BD"/>
    <w:rsid w:val="9E7ED74B"/>
    <w:rsid w:val="9F1EE70B"/>
    <w:rsid w:val="9F55EB28"/>
    <w:rsid w:val="9F5CB341"/>
    <w:rsid w:val="9F672A5A"/>
    <w:rsid w:val="9F6B1BB7"/>
    <w:rsid w:val="9F7B2CDA"/>
    <w:rsid w:val="9FAF9A56"/>
    <w:rsid w:val="9FFE01CE"/>
    <w:rsid w:val="9FFFC48F"/>
    <w:rsid w:val="A2E7259A"/>
    <w:rsid w:val="A3DDB586"/>
    <w:rsid w:val="A3E5B80E"/>
    <w:rsid w:val="A67ACDE1"/>
    <w:rsid w:val="A73F7B3C"/>
    <w:rsid w:val="AAC7FC76"/>
    <w:rsid w:val="ACC36656"/>
    <w:rsid w:val="ACDD640D"/>
    <w:rsid w:val="ACEDBC04"/>
    <w:rsid w:val="AD7F69FA"/>
    <w:rsid w:val="AD97216D"/>
    <w:rsid w:val="ADFFE497"/>
    <w:rsid w:val="AEEFD679"/>
    <w:rsid w:val="AEF7B971"/>
    <w:rsid w:val="AF514A05"/>
    <w:rsid w:val="AF7F92FB"/>
    <w:rsid w:val="AF99A324"/>
    <w:rsid w:val="AFBFFF5A"/>
    <w:rsid w:val="AFFE8F57"/>
    <w:rsid w:val="B15F26F1"/>
    <w:rsid w:val="B3E9C594"/>
    <w:rsid w:val="B47EFD21"/>
    <w:rsid w:val="B5773F58"/>
    <w:rsid w:val="B5E46B39"/>
    <w:rsid w:val="B5FF12BB"/>
    <w:rsid w:val="B6F57939"/>
    <w:rsid w:val="B77D6496"/>
    <w:rsid w:val="B77D7E67"/>
    <w:rsid w:val="B77F07AB"/>
    <w:rsid w:val="B77F6E59"/>
    <w:rsid w:val="B7BD3601"/>
    <w:rsid w:val="B7CB91A4"/>
    <w:rsid w:val="B7D36FA8"/>
    <w:rsid w:val="B7E1105A"/>
    <w:rsid w:val="B7FD1AE0"/>
    <w:rsid w:val="B8B326E9"/>
    <w:rsid w:val="B8F93382"/>
    <w:rsid w:val="B9C7C6B5"/>
    <w:rsid w:val="B9FF3CE4"/>
    <w:rsid w:val="BA77530D"/>
    <w:rsid w:val="BAB511EF"/>
    <w:rsid w:val="BAB726DA"/>
    <w:rsid w:val="BB2DBD3C"/>
    <w:rsid w:val="BB4F899D"/>
    <w:rsid w:val="BB7DCDF1"/>
    <w:rsid w:val="BB8F9026"/>
    <w:rsid w:val="BBB87D5D"/>
    <w:rsid w:val="BBE701E2"/>
    <w:rsid w:val="BBEB4B1E"/>
    <w:rsid w:val="BBEF213A"/>
    <w:rsid w:val="BBFF51C6"/>
    <w:rsid w:val="BC676F5A"/>
    <w:rsid w:val="BCDB7B19"/>
    <w:rsid w:val="BCE793E5"/>
    <w:rsid w:val="BD3FB31A"/>
    <w:rsid w:val="BD779E38"/>
    <w:rsid w:val="BDE480B0"/>
    <w:rsid w:val="BDEEFF8A"/>
    <w:rsid w:val="BDEFACE4"/>
    <w:rsid w:val="BDF396CA"/>
    <w:rsid w:val="BDFDDD4F"/>
    <w:rsid w:val="BDFF5717"/>
    <w:rsid w:val="BE54F2DD"/>
    <w:rsid w:val="BE6D51DD"/>
    <w:rsid w:val="BE7FB404"/>
    <w:rsid w:val="BEBC8FAD"/>
    <w:rsid w:val="BEBF06C5"/>
    <w:rsid w:val="BEDFFD83"/>
    <w:rsid w:val="BEFAC2DB"/>
    <w:rsid w:val="BF2F4A5F"/>
    <w:rsid w:val="BF33C23A"/>
    <w:rsid w:val="BF4B7BB1"/>
    <w:rsid w:val="BF5A3EDB"/>
    <w:rsid w:val="BF6DC246"/>
    <w:rsid w:val="BF7D0D95"/>
    <w:rsid w:val="BF877459"/>
    <w:rsid w:val="BFA5D3F9"/>
    <w:rsid w:val="BFAB87A6"/>
    <w:rsid w:val="BFABCC6F"/>
    <w:rsid w:val="BFBD5197"/>
    <w:rsid w:val="BFBD8F5F"/>
    <w:rsid w:val="BFD7124A"/>
    <w:rsid w:val="BFDD1D7B"/>
    <w:rsid w:val="BFDD38DF"/>
    <w:rsid w:val="BFDD8FFF"/>
    <w:rsid w:val="BFDF0AC3"/>
    <w:rsid w:val="BFED8347"/>
    <w:rsid w:val="BFEDAE6E"/>
    <w:rsid w:val="BFF3C889"/>
    <w:rsid w:val="BFF3FCA0"/>
    <w:rsid w:val="BFF5FD1E"/>
    <w:rsid w:val="BFF9B4EA"/>
    <w:rsid w:val="BFFA1615"/>
    <w:rsid w:val="BFFB6114"/>
    <w:rsid w:val="BFFF7B21"/>
    <w:rsid w:val="BFFFCB6E"/>
    <w:rsid w:val="C65F01AC"/>
    <w:rsid w:val="C6B718E6"/>
    <w:rsid w:val="C776AAD2"/>
    <w:rsid w:val="C79FFF40"/>
    <w:rsid w:val="C7E7464A"/>
    <w:rsid w:val="C7ED85AB"/>
    <w:rsid w:val="C7F2FEBA"/>
    <w:rsid w:val="CBBDBDBD"/>
    <w:rsid w:val="CBF7C2A3"/>
    <w:rsid w:val="CCFFEC40"/>
    <w:rsid w:val="CD3BB7E7"/>
    <w:rsid w:val="CD762457"/>
    <w:rsid w:val="CE7FEC49"/>
    <w:rsid w:val="CEEF03CE"/>
    <w:rsid w:val="CEFB9BD9"/>
    <w:rsid w:val="CF32C9D1"/>
    <w:rsid w:val="CFBBC6D1"/>
    <w:rsid w:val="CFFBFD11"/>
    <w:rsid w:val="CFFF1168"/>
    <w:rsid w:val="CFFFC9DD"/>
    <w:rsid w:val="D1D7956E"/>
    <w:rsid w:val="D2BDFDEF"/>
    <w:rsid w:val="D3ABDAB0"/>
    <w:rsid w:val="D3BE6167"/>
    <w:rsid w:val="D3CDC90A"/>
    <w:rsid w:val="D3F399F9"/>
    <w:rsid w:val="D5334A3F"/>
    <w:rsid w:val="D5ADD255"/>
    <w:rsid w:val="D5AFAD7F"/>
    <w:rsid w:val="D69ECD4A"/>
    <w:rsid w:val="D6FFE2D8"/>
    <w:rsid w:val="D75B311E"/>
    <w:rsid w:val="D77B9491"/>
    <w:rsid w:val="D787BE88"/>
    <w:rsid w:val="D7B7B6CF"/>
    <w:rsid w:val="D7DB4F3E"/>
    <w:rsid w:val="D7FDC320"/>
    <w:rsid w:val="D7FF200B"/>
    <w:rsid w:val="D8C7C1ED"/>
    <w:rsid w:val="D8DFDAC0"/>
    <w:rsid w:val="D9F5FBB2"/>
    <w:rsid w:val="DA5E621D"/>
    <w:rsid w:val="DAF7322E"/>
    <w:rsid w:val="DAFF7C4C"/>
    <w:rsid w:val="DB73B31B"/>
    <w:rsid w:val="DB7F606A"/>
    <w:rsid w:val="DBB722C7"/>
    <w:rsid w:val="DBFF05A2"/>
    <w:rsid w:val="DCDFE90F"/>
    <w:rsid w:val="DCE4604E"/>
    <w:rsid w:val="DCF65432"/>
    <w:rsid w:val="DCFE3A9F"/>
    <w:rsid w:val="DD5DC3AE"/>
    <w:rsid w:val="DDBFEA55"/>
    <w:rsid w:val="DDDFA60C"/>
    <w:rsid w:val="DDF566B0"/>
    <w:rsid w:val="DDF6F6FA"/>
    <w:rsid w:val="DDFC8A8A"/>
    <w:rsid w:val="DE8E43AB"/>
    <w:rsid w:val="DEBD1B81"/>
    <w:rsid w:val="DEBF4786"/>
    <w:rsid w:val="DEBF59F0"/>
    <w:rsid w:val="DEFA8EF2"/>
    <w:rsid w:val="DEFB0903"/>
    <w:rsid w:val="DEFF3E4A"/>
    <w:rsid w:val="DF5E5CAD"/>
    <w:rsid w:val="DF6E8875"/>
    <w:rsid w:val="DF7350C8"/>
    <w:rsid w:val="DF9B2FDB"/>
    <w:rsid w:val="DFAAF6F3"/>
    <w:rsid w:val="DFAF0A47"/>
    <w:rsid w:val="DFB36E8C"/>
    <w:rsid w:val="DFCFFFA0"/>
    <w:rsid w:val="DFD7B576"/>
    <w:rsid w:val="DFD7F8CD"/>
    <w:rsid w:val="DFDF86E2"/>
    <w:rsid w:val="DFE11F8D"/>
    <w:rsid w:val="DFEED0A3"/>
    <w:rsid w:val="DFF32F4E"/>
    <w:rsid w:val="DFFC4362"/>
    <w:rsid w:val="DFFF4EA3"/>
    <w:rsid w:val="DFFFA889"/>
    <w:rsid w:val="E1BF7A10"/>
    <w:rsid w:val="E36E7F5C"/>
    <w:rsid w:val="E3C73C39"/>
    <w:rsid w:val="E3F753A2"/>
    <w:rsid w:val="E56AC93C"/>
    <w:rsid w:val="E5F19684"/>
    <w:rsid w:val="E6FF6C57"/>
    <w:rsid w:val="E74B075E"/>
    <w:rsid w:val="E7E56D6B"/>
    <w:rsid w:val="E9FB353B"/>
    <w:rsid w:val="EA3BE6E0"/>
    <w:rsid w:val="EB786ED3"/>
    <w:rsid w:val="EBFAFC81"/>
    <w:rsid w:val="EC96D586"/>
    <w:rsid w:val="ECAE1E4D"/>
    <w:rsid w:val="EDBF327D"/>
    <w:rsid w:val="EDDD5AE6"/>
    <w:rsid w:val="EDF131FD"/>
    <w:rsid w:val="EDFAFFD7"/>
    <w:rsid w:val="EDFFE984"/>
    <w:rsid w:val="EE37B022"/>
    <w:rsid w:val="EEAFFB1F"/>
    <w:rsid w:val="EED60C33"/>
    <w:rsid w:val="EED7841C"/>
    <w:rsid w:val="EEEBE97E"/>
    <w:rsid w:val="EEEF3DDA"/>
    <w:rsid w:val="EEF33A61"/>
    <w:rsid w:val="EEFF22B2"/>
    <w:rsid w:val="EEFF4D37"/>
    <w:rsid w:val="EF2F4E69"/>
    <w:rsid w:val="EF5E4391"/>
    <w:rsid w:val="EF6648A2"/>
    <w:rsid w:val="EF733005"/>
    <w:rsid w:val="EF7354B7"/>
    <w:rsid w:val="EF778569"/>
    <w:rsid w:val="EF77B0DA"/>
    <w:rsid w:val="EFAF873D"/>
    <w:rsid w:val="EFB67CCA"/>
    <w:rsid w:val="EFBE9570"/>
    <w:rsid w:val="EFC57340"/>
    <w:rsid w:val="EFCF0021"/>
    <w:rsid w:val="EFD5D362"/>
    <w:rsid w:val="EFDB5C83"/>
    <w:rsid w:val="EFE7CA46"/>
    <w:rsid w:val="EFEE5A26"/>
    <w:rsid w:val="EFEF0472"/>
    <w:rsid w:val="EFEF9639"/>
    <w:rsid w:val="EFF786B7"/>
    <w:rsid w:val="EFFB10FD"/>
    <w:rsid w:val="EFFB4DE7"/>
    <w:rsid w:val="EFFF38F7"/>
    <w:rsid w:val="EFFFB267"/>
    <w:rsid w:val="EFFFEBD8"/>
    <w:rsid w:val="EFFFECBB"/>
    <w:rsid w:val="F23D4332"/>
    <w:rsid w:val="F26A32D2"/>
    <w:rsid w:val="F2EF8D78"/>
    <w:rsid w:val="F373572A"/>
    <w:rsid w:val="F37E453A"/>
    <w:rsid w:val="F3B7D090"/>
    <w:rsid w:val="F3EB02E8"/>
    <w:rsid w:val="F3EF0822"/>
    <w:rsid w:val="F3FDCA98"/>
    <w:rsid w:val="F44693C7"/>
    <w:rsid w:val="F4EF5092"/>
    <w:rsid w:val="F4F96333"/>
    <w:rsid w:val="F516B5F7"/>
    <w:rsid w:val="F55FB408"/>
    <w:rsid w:val="F57F2A4B"/>
    <w:rsid w:val="F5BB6B94"/>
    <w:rsid w:val="F5BD3A6D"/>
    <w:rsid w:val="F5FBD4DB"/>
    <w:rsid w:val="F63DEA46"/>
    <w:rsid w:val="F6F3BA67"/>
    <w:rsid w:val="F6F7B1FA"/>
    <w:rsid w:val="F6FB03ED"/>
    <w:rsid w:val="F6FB8BCF"/>
    <w:rsid w:val="F6FD23E2"/>
    <w:rsid w:val="F74FE5A1"/>
    <w:rsid w:val="F7573EC7"/>
    <w:rsid w:val="F767CB56"/>
    <w:rsid w:val="F76940FA"/>
    <w:rsid w:val="F7763F7A"/>
    <w:rsid w:val="F797C129"/>
    <w:rsid w:val="F7BE5DBA"/>
    <w:rsid w:val="F7CB1692"/>
    <w:rsid w:val="F7D01C85"/>
    <w:rsid w:val="F7D713DA"/>
    <w:rsid w:val="F7D775EC"/>
    <w:rsid w:val="F7DFCD90"/>
    <w:rsid w:val="F7ED5CE4"/>
    <w:rsid w:val="F7EF7FE6"/>
    <w:rsid w:val="F7F7FC6F"/>
    <w:rsid w:val="F7FD05AA"/>
    <w:rsid w:val="F7FDED42"/>
    <w:rsid w:val="F7FEBF76"/>
    <w:rsid w:val="F7FF3B38"/>
    <w:rsid w:val="F89B10DC"/>
    <w:rsid w:val="F8D6625F"/>
    <w:rsid w:val="F94F4251"/>
    <w:rsid w:val="F97E7AB4"/>
    <w:rsid w:val="F97F6E17"/>
    <w:rsid w:val="F9ED6AD9"/>
    <w:rsid w:val="F9FF9C18"/>
    <w:rsid w:val="F9FFDF9C"/>
    <w:rsid w:val="FA3F5F9E"/>
    <w:rsid w:val="FA3FE302"/>
    <w:rsid w:val="FA3FFF0D"/>
    <w:rsid w:val="FA7F693C"/>
    <w:rsid w:val="FA9F672D"/>
    <w:rsid w:val="FAA39802"/>
    <w:rsid w:val="FADF3DDE"/>
    <w:rsid w:val="FAEF99B7"/>
    <w:rsid w:val="FAFBB4F3"/>
    <w:rsid w:val="FAFFCD10"/>
    <w:rsid w:val="FB329568"/>
    <w:rsid w:val="FB4F04D7"/>
    <w:rsid w:val="FB5F2FD3"/>
    <w:rsid w:val="FB7EA662"/>
    <w:rsid w:val="FBC7A5D7"/>
    <w:rsid w:val="FBDBCAFD"/>
    <w:rsid w:val="FBDC0979"/>
    <w:rsid w:val="FBDFE3CA"/>
    <w:rsid w:val="FBE61BDE"/>
    <w:rsid w:val="FBEF24F3"/>
    <w:rsid w:val="FBEFAD41"/>
    <w:rsid w:val="FBEFCA1A"/>
    <w:rsid w:val="FBFC3F5F"/>
    <w:rsid w:val="FBFC7132"/>
    <w:rsid w:val="FBFD1B14"/>
    <w:rsid w:val="FBFEAD49"/>
    <w:rsid w:val="FBFF61AD"/>
    <w:rsid w:val="FBFF79E0"/>
    <w:rsid w:val="FBFFCA98"/>
    <w:rsid w:val="FC78E52F"/>
    <w:rsid w:val="FC7D0084"/>
    <w:rsid w:val="FC7FDB19"/>
    <w:rsid w:val="FCBF5396"/>
    <w:rsid w:val="FCF51796"/>
    <w:rsid w:val="FCFE126D"/>
    <w:rsid w:val="FCFF1B4F"/>
    <w:rsid w:val="FCFF5F45"/>
    <w:rsid w:val="FD3BB76E"/>
    <w:rsid w:val="FD5E22C2"/>
    <w:rsid w:val="FD6E68BE"/>
    <w:rsid w:val="FD7A8411"/>
    <w:rsid w:val="FD7B5811"/>
    <w:rsid w:val="FD7DDCE4"/>
    <w:rsid w:val="FD7F4B6B"/>
    <w:rsid w:val="FDB5471A"/>
    <w:rsid w:val="FDB91431"/>
    <w:rsid w:val="FDBFA174"/>
    <w:rsid w:val="FDCDF1B9"/>
    <w:rsid w:val="FDDADD15"/>
    <w:rsid w:val="FDE9D5B3"/>
    <w:rsid w:val="FDEF3A59"/>
    <w:rsid w:val="FDF7B0FC"/>
    <w:rsid w:val="FDFB027B"/>
    <w:rsid w:val="FDFBB1CF"/>
    <w:rsid w:val="FDFF1AE6"/>
    <w:rsid w:val="FE748EF9"/>
    <w:rsid w:val="FE7BB176"/>
    <w:rsid w:val="FEAEDBE9"/>
    <w:rsid w:val="FEBC6153"/>
    <w:rsid w:val="FEBFB8FC"/>
    <w:rsid w:val="FEDF1856"/>
    <w:rsid w:val="FEF98B70"/>
    <w:rsid w:val="FEFB1DF0"/>
    <w:rsid w:val="FEFFF7E5"/>
    <w:rsid w:val="FF0F9471"/>
    <w:rsid w:val="FF1A7D9C"/>
    <w:rsid w:val="FF1C81A6"/>
    <w:rsid w:val="FF1D16A2"/>
    <w:rsid w:val="FF2F338D"/>
    <w:rsid w:val="FF3F4108"/>
    <w:rsid w:val="FF3F89E4"/>
    <w:rsid w:val="FF468A7F"/>
    <w:rsid w:val="FF56871E"/>
    <w:rsid w:val="FF5B24BC"/>
    <w:rsid w:val="FF6EA354"/>
    <w:rsid w:val="FF7B4457"/>
    <w:rsid w:val="FF7ECB67"/>
    <w:rsid w:val="FF7F2580"/>
    <w:rsid w:val="FF8B4111"/>
    <w:rsid w:val="FF8E7D34"/>
    <w:rsid w:val="FF9F15D6"/>
    <w:rsid w:val="FFAE2900"/>
    <w:rsid w:val="FFAF2548"/>
    <w:rsid w:val="FFAF9C36"/>
    <w:rsid w:val="FFBC18AC"/>
    <w:rsid w:val="FFBD55B0"/>
    <w:rsid w:val="FFBDC667"/>
    <w:rsid w:val="FFBF172D"/>
    <w:rsid w:val="FFBF29A0"/>
    <w:rsid w:val="FFBF446E"/>
    <w:rsid w:val="FFBFC7A6"/>
    <w:rsid w:val="FFBFE2BD"/>
    <w:rsid w:val="FFD64B31"/>
    <w:rsid w:val="FFD6BEE2"/>
    <w:rsid w:val="FFD7E728"/>
    <w:rsid w:val="FFE60E60"/>
    <w:rsid w:val="FFE9E36A"/>
    <w:rsid w:val="FFEF8467"/>
    <w:rsid w:val="FFEFFF6F"/>
    <w:rsid w:val="FFF21124"/>
    <w:rsid w:val="FFF4F753"/>
    <w:rsid w:val="FFF68DAB"/>
    <w:rsid w:val="FFF7D3F9"/>
    <w:rsid w:val="FFF7F3EE"/>
    <w:rsid w:val="FFFA02E0"/>
    <w:rsid w:val="FFFA170B"/>
    <w:rsid w:val="FFFB4D5B"/>
    <w:rsid w:val="FFFB87FF"/>
    <w:rsid w:val="FFFBE420"/>
    <w:rsid w:val="FFFC8F4A"/>
    <w:rsid w:val="FFFD17A6"/>
    <w:rsid w:val="FFFE180C"/>
    <w:rsid w:val="FFFE3594"/>
    <w:rsid w:val="FFFF56F8"/>
    <w:rsid w:val="FFFF784B"/>
    <w:rsid w:val="FFFFAEE3"/>
    <w:rsid w:val="FFFFF5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1"/>
    <w:qFormat/>
    <w:uiPriority w:val="0"/>
    <w:pPr>
      <w:numPr>
        <w:ilvl w:val="2"/>
        <w:numId w:val="2"/>
      </w:numPr>
      <w:outlineLvl w:val="2"/>
    </w:pPr>
    <w:rPr>
      <w:rFonts w:eastAsia="宋体"/>
      <w:sz w:val="28"/>
    </w:rPr>
  </w:style>
  <w:style w:type="paragraph" w:styleId="5">
    <w:name w:val="heading 4"/>
    <w:basedOn w:val="6"/>
    <w:next w:val="1"/>
    <w:link w:val="30"/>
    <w:qFormat/>
    <w:uiPriority w:val="0"/>
    <w:pPr>
      <w:numPr>
        <w:ilvl w:val="3"/>
        <w:numId w:val="2"/>
      </w:numPr>
      <w:outlineLvl w:val="3"/>
    </w:pPr>
    <w:rPr>
      <w:rFonts w:eastAsia="宋体"/>
      <w:sz w:val="24"/>
    </w:rPr>
  </w:style>
  <w:style w:type="paragraph" w:styleId="6">
    <w:name w:val="heading 5"/>
    <w:basedOn w:val="1"/>
    <w:next w:val="1"/>
    <w:link w:val="32"/>
    <w:qFormat/>
    <w:uiPriority w:val="0"/>
    <w:pPr>
      <w:numPr>
        <w:ilvl w:val="4"/>
        <w:numId w:val="2"/>
      </w:numPr>
      <w:outlineLvl w:val="4"/>
    </w:pPr>
  </w:style>
  <w:style w:type="character" w:default="1" w:styleId="21">
    <w:name w:val="Default Paragraph Font"/>
    <w:semiHidden/>
    <w:qFormat/>
    <w:uiPriority w:val="0"/>
  </w:style>
  <w:style w:type="table" w:default="1" w:styleId="1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semiHidden/>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563C1"/>
      <w:u w:val="single"/>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术语标题1"/>
    <w:basedOn w:val="1"/>
    <w:qFormat/>
    <w:uiPriority w:val="0"/>
    <w:pPr>
      <w:widowControl/>
      <w:adjustRightInd/>
      <w:spacing w:line="240" w:lineRule="auto"/>
    </w:pPr>
    <w:rPr>
      <w:rFonts w:ascii="宋体" w:hAnsi="宋体"/>
    </w:rPr>
  </w:style>
  <w:style w:type="paragraph" w:customStyle="1" w:styleId="26">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7">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8">
    <w:name w:val="List Paragraph"/>
    <w:basedOn w:val="1"/>
    <w:qFormat/>
    <w:uiPriority w:val="34"/>
    <w:pPr>
      <w:ind w:firstLine="420"/>
    </w:pPr>
    <w:rPr>
      <w:rFonts w:ascii="Calibri" w:hAnsi="Calibri"/>
      <w:szCs w:val="20"/>
    </w:rPr>
  </w:style>
  <w:style w:type="paragraph" w:customStyle="1" w:styleId="29">
    <w:name w:val="wang正文"/>
    <w:basedOn w:val="1"/>
    <w:qFormat/>
    <w:uiPriority w:val="0"/>
    <w:pPr>
      <w:tabs>
        <w:tab w:val="left" w:pos="6840"/>
      </w:tabs>
      <w:ind w:firstLine="420"/>
    </w:pPr>
    <w:rPr>
      <w:rFonts w:eastAsia="宋体"/>
      <w:sz w:val="21"/>
      <w:lang w:val="en-US" w:eastAsia="zh-CN"/>
    </w:rPr>
  </w:style>
  <w:style w:type="character" w:customStyle="1" w:styleId="30">
    <w:name w:val="标题 4 字符"/>
    <w:basedOn w:val="21"/>
    <w:link w:val="5"/>
    <w:qFormat/>
    <w:uiPriority w:val="0"/>
    <w:rPr>
      <w:rFonts w:hint="default" w:ascii="Calibri" w:hAnsi="Calibri" w:cs="Times New Roman"/>
      <w:kern w:val="2"/>
      <w:sz w:val="24"/>
      <w:szCs w:val="24"/>
    </w:rPr>
  </w:style>
  <w:style w:type="character" w:customStyle="1" w:styleId="31">
    <w:name w:val="标题 3 字符"/>
    <w:basedOn w:val="21"/>
    <w:link w:val="4"/>
    <w:qFormat/>
    <w:uiPriority w:val="0"/>
    <w:rPr>
      <w:rFonts w:hint="default" w:ascii="Calibri" w:hAnsi="Calibri" w:cs="Times New Roman"/>
      <w:kern w:val="2"/>
      <w:sz w:val="28"/>
      <w:szCs w:val="24"/>
    </w:rPr>
  </w:style>
  <w:style w:type="character" w:customStyle="1" w:styleId="32">
    <w:name w:val="标题 5 字符"/>
    <w:basedOn w:val="21"/>
    <w:link w:val="6"/>
    <w:qFormat/>
    <w:uiPriority w:val="0"/>
    <w:rPr>
      <w:rFonts w:hint="default" w:ascii="Calibri" w:hAnsi="Calibri" w:eastAsia="宋体" w:cs="Times New Roman"/>
      <w:kern w:val="2"/>
      <w:sz w:val="21"/>
      <w:szCs w:val="24"/>
    </w:rPr>
  </w:style>
  <w:style w:type="paragraph" w:customStyle="1" w:styleId="33">
    <w:name w:val="正文表标题"/>
    <w:next w:val="34"/>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4">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5">
    <w:name w:val="新规范表"/>
    <w:basedOn w:val="36"/>
    <w:qFormat/>
    <w:uiPriority w:val="0"/>
    <w:pPr>
      <w:spacing w:beforeLines="0" w:line="240" w:lineRule="auto"/>
    </w:pPr>
    <w:rPr>
      <w:rFonts w:ascii="Times New Roman" w:hAnsi="Times New Roman" w:cs="Times New Roman"/>
      <w:sz w:val="20"/>
      <w:szCs w:val="20"/>
    </w:rPr>
  </w:style>
  <w:style w:type="paragraph" w:customStyle="1" w:styleId="36">
    <w:name w:val="规范表"/>
    <w:basedOn w:val="37"/>
    <w:qFormat/>
    <w:uiPriority w:val="0"/>
    <w:pPr>
      <w:spacing w:beforeLines="50"/>
    </w:pPr>
  </w:style>
  <w:style w:type="paragraph" w:customStyle="1" w:styleId="37">
    <w:name w:val="规范图"/>
    <w:basedOn w:val="1"/>
    <w:qFormat/>
    <w:uiPriority w:val="0"/>
    <w:pPr>
      <w:spacing w:line="288" w:lineRule="auto"/>
      <w:jc w:val="center"/>
    </w:pPr>
    <w:rPr>
      <w:rFonts w:ascii="黑体" w:hAnsi="黑体" w:eastAsia="黑体" w:cs="黑体"/>
    </w:rPr>
  </w:style>
  <w:style w:type="character" w:customStyle="1" w:styleId="38">
    <w:name w:val="font71"/>
    <w:basedOn w:val="21"/>
    <w:qFormat/>
    <w:uiPriority w:val="0"/>
    <w:rPr>
      <w:rFonts w:hint="default" w:ascii="Times New Roman" w:hAnsi="Times New Roman" w:cs="Times New Roman"/>
      <w:color w:val="000000"/>
      <w:sz w:val="18"/>
      <w:szCs w:val="18"/>
      <w:u w:val="none"/>
    </w:rPr>
  </w:style>
  <w:style w:type="character" w:customStyle="1" w:styleId="39">
    <w:name w:val="font201"/>
    <w:basedOn w:val="21"/>
    <w:qFormat/>
    <w:uiPriority w:val="0"/>
    <w:rPr>
      <w:rFonts w:hint="default" w:ascii="Times New Roman" w:hAnsi="Times New Roman" w:cs="Times New Roman"/>
      <w:color w:val="000000"/>
      <w:sz w:val="20"/>
      <w:szCs w:val="20"/>
      <w:u w:val="none"/>
    </w:rPr>
  </w:style>
  <w:style w:type="character" w:customStyle="1" w:styleId="40">
    <w:name w:val="font211"/>
    <w:basedOn w:val="21"/>
    <w:qFormat/>
    <w:uiPriority w:val="0"/>
    <w:rPr>
      <w:rFonts w:ascii="宋体" w:hAnsi="宋体" w:eastAsia="宋体" w:cs="宋体"/>
      <w:color w:val="000000"/>
      <w:sz w:val="20"/>
      <w:szCs w:val="20"/>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3">
    <w:name w:val="Table Paragraph"/>
    <w:basedOn w:val="1"/>
    <w:qFormat/>
    <w:uiPriority w:val="1"/>
    <w:pPr>
      <w:jc w:val="left"/>
    </w:pPr>
    <w:rPr>
      <w:rFonts w:ascii="Calibri" w:hAnsi="Calibri" w:cs="Times New Roman"/>
      <w:sz w:val="22"/>
      <w:szCs w:val="22"/>
      <w:lang w:eastAsia="en-US"/>
    </w:rPr>
  </w:style>
  <w:style w:type="paragraph" w:customStyle="1" w:styleId="44">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5">
    <w:name w:val="段 + (符号) 宋体"/>
    <w:basedOn w:val="27"/>
    <w:qFormat/>
    <w:uiPriority w:val="0"/>
    <w:pPr>
      <w:ind w:firstLine="0"/>
    </w:pPr>
    <w:rPr>
      <w:szCs w:val="18"/>
    </w:rPr>
  </w:style>
  <w:style w:type="paragraph" w:customStyle="1" w:styleId="46">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7">
    <w:name w:val="新规范图"/>
    <w:basedOn w:val="33"/>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8">
    <w:name w:val="标准文件_正文公式"/>
    <w:basedOn w:val="1"/>
    <w:next w:val="49"/>
    <w:qFormat/>
    <w:uiPriority w:val="0"/>
    <w:pPr>
      <w:tabs>
        <w:tab w:val="center" w:pos="4678"/>
        <w:tab w:val="right" w:leader="middleDot" w:pos="9356"/>
      </w:tabs>
      <w:adjustRightInd w:val="0"/>
    </w:pPr>
    <w:rPr>
      <w:rFonts w:ascii="宋体" w:hAnsi="宋体" w:cs="Times New Roman"/>
    </w:rPr>
  </w:style>
  <w:style w:type="paragraph" w:customStyle="1" w:styleId="49">
    <w:name w:val="标准文件_标准正文"/>
    <w:basedOn w:val="1"/>
    <w:next w:val="50"/>
    <w:qFormat/>
    <w:uiPriority w:val="0"/>
    <w:pPr>
      <w:adjustRightInd w:val="0"/>
      <w:snapToGrid w:val="0"/>
      <w:spacing w:line="400" w:lineRule="exact"/>
      <w:ind w:firstLine="200" w:firstLineChars="200"/>
    </w:pPr>
    <w:rPr>
      <w:rFonts w:cs="Times New Roman"/>
      <w:kern w:val="0"/>
    </w:rPr>
  </w:style>
  <w:style w:type="paragraph" w:customStyle="1" w:styleId="5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7134</Words>
  <Characters>7953</Characters>
  <Lines>1</Lines>
  <Paragraphs>1</Paragraphs>
  <TotalTime>17</TotalTime>
  <ScaleCrop>false</ScaleCrop>
  <LinksUpToDate>false</LinksUpToDate>
  <CharactersWithSpaces>8247</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2024-08-02T13:15:00Z</dcterms:created>
  <dc:creator>柏三创@物资云·贵宾客服</dc:creator>
  <cp:lastModifiedBy>蔡菜</cp:lastModifiedBy>
  <dcterms:modified xsi:type="dcterms:W3CDTF">2025-09-30T16:02:13Z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82A5377815EB7E5BEF34DA681CCBFA8D_43</vt:lpwstr>
  </property>
</Properties>
</file>