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5</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煤矿固定敷设用电力电缆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5758"/>
      <w:bookmarkStart w:id="2" w:name="_Toc467852381"/>
      <w:bookmarkStart w:id="3" w:name="_Toc24681"/>
      <w:bookmarkStart w:id="4" w:name="_Toc26336"/>
      <w:bookmarkStart w:id="5" w:name="_Toc472000152"/>
      <w:bookmarkStart w:id="6" w:name="_Toc1665062136"/>
      <w:bookmarkStart w:id="7" w:name="_Toc28983"/>
      <w:bookmarkStart w:id="8" w:name="_Toc23793"/>
      <w:bookmarkStart w:id="9" w:name="_Toc155256224"/>
      <w:bookmarkStart w:id="10" w:name="_Toc28110"/>
      <w:bookmarkStart w:id="11" w:name="_Toc476665731"/>
      <w:bookmarkStart w:id="12" w:name="_Toc1563290462"/>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6506"/>
      <w:bookmarkStart w:id="14" w:name="_Toc474794126"/>
      <w:bookmarkStart w:id="15" w:name="_Toc26147"/>
      <w:bookmarkStart w:id="16" w:name="_Toc13053"/>
      <w:bookmarkStart w:id="17" w:name="_Toc32428"/>
      <w:bookmarkStart w:id="18" w:name="_Toc8672"/>
      <w:bookmarkStart w:id="19" w:name="_Toc2273"/>
      <w:bookmarkStart w:id="20" w:name="_Toc1684"/>
      <w:bookmarkStart w:id="21" w:name="_Toc7173"/>
      <w:bookmarkStart w:id="22" w:name="_Toc262095872"/>
      <w:bookmarkStart w:id="23" w:name="_Toc10066"/>
      <w:bookmarkStart w:id="24" w:name="_Toc7834"/>
      <w:bookmarkStart w:id="25" w:name="_Toc28305"/>
      <w:bookmarkStart w:id="26" w:name="_Toc26735"/>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9019"/>
      <w:bookmarkStart w:id="28" w:name="_Toc17126"/>
      <w:bookmarkStart w:id="29" w:name="_Toc12774"/>
      <w:bookmarkStart w:id="30" w:name="_Toc8748"/>
      <w:bookmarkStart w:id="31" w:name="_Toc556360707"/>
      <w:bookmarkStart w:id="32" w:name="_Toc11618"/>
      <w:bookmarkStart w:id="33" w:name="_Toc1963127077"/>
      <w:bookmarkStart w:id="34" w:name="_Toc546"/>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第5部分：煤矿固定敷设用电力电缆》系T/CTBA XXXX《煤矿企业电线电缆采购技术规范》的第5部分，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13791"/>
      <w:bookmarkStart w:id="36" w:name="_Toc610603511"/>
      <w:bookmarkStart w:id="37" w:name="_Toc338030631"/>
      <w:bookmarkStart w:id="38" w:name="_Toc7245"/>
      <w:bookmarkStart w:id="39" w:name="_Toc32418"/>
      <w:bookmarkStart w:id="40" w:name="_Toc9349"/>
      <w:bookmarkStart w:id="41" w:name="_Toc19726"/>
      <w:bookmarkStart w:id="42" w:name="_Toc24930"/>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736344011"/>
      <w:bookmarkStart w:id="44" w:name="_Toc26444"/>
      <w:bookmarkStart w:id="45" w:name="_Toc29426"/>
      <w:bookmarkStart w:id="46" w:name="_Toc15370"/>
      <w:bookmarkStart w:id="47" w:name="_Toc29490"/>
      <w:bookmarkStart w:id="48" w:name="_Toc11138"/>
      <w:bookmarkStart w:id="49" w:name="_Toc1186568902"/>
      <w:bookmarkStart w:id="50" w:name="_Toc4636"/>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3"/>
      <w:bookmarkStart w:id="52" w:name="_Toc12796"/>
      <w:bookmarkStart w:id="53" w:name="_Toc11739"/>
      <w:bookmarkStart w:id="54" w:name="_Toc1130389872"/>
      <w:bookmarkStart w:id="55" w:name="_Toc11490"/>
      <w:bookmarkStart w:id="56" w:name="_Toc28989"/>
      <w:bookmarkStart w:id="57" w:name="_Toc578513794"/>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822237342"/>
      <w:bookmarkStart w:id="59" w:name="_Toc3351"/>
      <w:bookmarkStart w:id="60" w:name="_Toc25711"/>
      <w:bookmarkStart w:id="61" w:name="_Toc10360"/>
      <w:bookmarkStart w:id="62" w:name="_Toc1422865789"/>
      <w:bookmarkStart w:id="63" w:name="_Toc10961"/>
      <w:bookmarkStart w:id="64" w:name="_Toc4142"/>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第5部分：煤矿固定敷设用电力电缆</w:t>
      </w:r>
      <w:r>
        <w:rPr>
          <w:rFonts w:hint="default" w:ascii="Times New Roman Regular" w:hAnsi="Times New Roman Regular" w:eastAsia="宋体" w:cs="Times New Roman Regular"/>
          <w:b w:val="0"/>
          <w:sz w:val="21"/>
          <w:szCs w:val="21"/>
          <w:lang w:val="en-US" w:eastAsia="zh-CN"/>
        </w:rPr>
        <w:t>》</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24042"/>
      <w:bookmarkStart w:id="67" w:name="_Toc13373"/>
      <w:bookmarkStart w:id="68" w:name="_Toc14673"/>
      <w:bookmarkStart w:id="69" w:name="_Toc16113"/>
      <w:bookmarkStart w:id="70" w:name="_Toc1078717127"/>
      <w:bookmarkStart w:id="71" w:name="_Toc1874906378"/>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煤矿固定敷设用电力电缆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煤矿固定敷设用电力电缆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煤矿固定敷设用电力电缆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第5部分：煤矿固定敷设用电力电缆》第一次编制工作会，审议《工作组讨论稿》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25549"/>
      <w:bookmarkStart w:id="74" w:name="_Toc18777"/>
      <w:bookmarkStart w:id="75" w:name="_Toc31694"/>
      <w:bookmarkStart w:id="76" w:name="_Toc941805515"/>
      <w:bookmarkStart w:id="77" w:name="_Toc1326"/>
      <w:bookmarkStart w:id="78" w:name="_Toc31329"/>
      <w:bookmarkStart w:id="79" w:name="_Toc22777"/>
      <w:bookmarkStart w:id="80" w:name="_Toc21766"/>
      <w:bookmarkStart w:id="81" w:name="_Toc17271"/>
      <w:bookmarkStart w:id="82" w:name="_Toc17300"/>
      <w:bookmarkStart w:id="83" w:name="_Toc1523942615"/>
      <w:bookmarkStart w:id="84" w:name="_Toc1482"/>
      <w:bookmarkStart w:id="85" w:name="_Toc16201"/>
      <w:bookmarkStart w:id="86" w:name="_Toc17840"/>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5</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煤矿固定敷设用电力电缆》更名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5</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煤矿固定敷设用电力电缆</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10148"/>
      <w:bookmarkStart w:id="88" w:name="_Toc1970812215"/>
      <w:bookmarkStart w:id="89" w:name="_Toc2013556183"/>
      <w:bookmarkStart w:id="90" w:name="_Toc27860"/>
      <w:bookmarkStart w:id="91" w:name="_Toc16264"/>
      <w:bookmarkStart w:id="92" w:name="_Toc766"/>
      <w:bookmarkStart w:id="93" w:name="_Toc23084"/>
      <w:bookmarkStart w:id="94" w:name="_Toc17477"/>
      <w:bookmarkStart w:id="95" w:name="_Toc29105"/>
      <w:bookmarkStart w:id="96" w:name="_Toc21633"/>
      <w:bookmarkStart w:id="97" w:name="_Toc250"/>
      <w:bookmarkStart w:id="98" w:name="_Toc4698"/>
      <w:bookmarkStart w:id="99" w:name="_Toc5485"/>
      <w:bookmarkStart w:id="100" w:name="_Toc29697"/>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22135"/>
      <w:bookmarkStart w:id="102" w:name="_Toc11837"/>
      <w:bookmarkStart w:id="103" w:name="_Toc7095"/>
      <w:bookmarkStart w:id="104" w:name="_Toc653126177"/>
      <w:bookmarkStart w:id="105" w:name="_Toc2507"/>
      <w:bookmarkStart w:id="106" w:name="_Toc629"/>
      <w:bookmarkStart w:id="107" w:name="_Toc1791458255"/>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
      <w:bookmarkStart w:id="109" w:name="_Toc1318160845"/>
      <w:bookmarkStart w:id="110" w:name="_Toc1783"/>
      <w:bookmarkStart w:id="111" w:name="_Toc15922"/>
      <w:bookmarkStart w:id="112" w:name="_Toc19756"/>
      <w:bookmarkStart w:id="113" w:name="_Toc8568"/>
      <w:bookmarkStart w:id="114" w:name="_Toc1302737022"/>
      <w:bookmarkStart w:id="115" w:name="_Toc990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9954"/>
      <w:bookmarkStart w:id="117" w:name="_Toc473"/>
      <w:bookmarkStart w:id="118" w:name="_Toc6626"/>
      <w:bookmarkStart w:id="119" w:name="_Toc888019463"/>
      <w:bookmarkStart w:id="120" w:name="_Toc32176"/>
      <w:bookmarkStart w:id="121" w:name="_Toc11494"/>
      <w:bookmarkStart w:id="122" w:name="_Toc1505347589"/>
      <w:bookmarkStart w:id="123" w:name="_Toc2206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1195"/>
      <w:bookmarkStart w:id="125" w:name="_Toc2079251638"/>
      <w:bookmarkStart w:id="126" w:name="_Toc26131"/>
      <w:bookmarkStart w:id="127" w:name="_Toc872083016"/>
      <w:bookmarkStart w:id="128" w:name="_Toc25167"/>
      <w:bookmarkStart w:id="129" w:name="_Toc11207"/>
      <w:bookmarkStart w:id="130" w:name="_Toc3030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煤矿固定敷设用电力电缆</w:t>
      </w:r>
      <w:r>
        <w:rPr>
          <w:rFonts w:hint="default" w:ascii="Times New Roman Regular" w:hAnsi="Times New Roman Regular" w:eastAsia="宋体" w:cs="Times New Roman Regular"/>
          <w:sz w:val="21"/>
          <w:szCs w:val="21"/>
          <w:lang w:val="en-US" w:eastAsia="zh-CN"/>
        </w:rPr>
        <w:t>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21031"/>
      <w:bookmarkStart w:id="132" w:name="_Toc9905"/>
      <w:bookmarkStart w:id="133" w:name="_Toc1810"/>
      <w:bookmarkStart w:id="134" w:name="_Toc6290"/>
      <w:bookmarkStart w:id="135" w:name="_Toc2701"/>
      <w:bookmarkStart w:id="136" w:name="_Toc10968"/>
      <w:bookmarkStart w:id="137" w:name="_Toc20175"/>
      <w:bookmarkStart w:id="138" w:name="_Toc3759"/>
      <w:bookmarkStart w:id="139" w:name="_Toc23960"/>
      <w:bookmarkStart w:id="140" w:name="_Toc16282"/>
      <w:bookmarkStart w:id="141" w:name="_Toc28592"/>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10765"/>
      <w:bookmarkStart w:id="147" w:name="_Toc2017"/>
      <w:bookmarkStart w:id="148" w:name="_Toc1178"/>
      <w:bookmarkStart w:id="149" w:name="_Toc11516"/>
      <w:bookmarkStart w:id="150" w:name="_Toc14559"/>
      <w:bookmarkStart w:id="151" w:name="_Toc522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1837259433"/>
      <w:bookmarkStart w:id="153" w:name="_Toc613098672"/>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970"/>
      <w:bookmarkStart w:id="155" w:name="_Toc8409"/>
      <w:bookmarkStart w:id="156" w:name="_Toc23273"/>
      <w:bookmarkStart w:id="157" w:name="_Toc19290"/>
      <w:bookmarkStart w:id="158" w:name="_Toc31433"/>
      <w:bookmarkStart w:id="159" w:name="_Toc25529"/>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煤矿固定敷设用电力电缆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本文件适用于煤矿固定敷设用电力电缆招标采购活动，供招标采购人和供应商参考使用。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54546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2951.</w:t>
      </w:r>
      <w:r>
        <w:rPr>
          <w:rFonts w:hint="eastAsia" w:ascii="Times New Roman" w:hAnsi="Times New Roman" w:eastAsia="宋体" w:cs="Times New Roman"/>
          <w:b w:val="0"/>
          <w:bCs w:val="0"/>
          <w:kern w:val="0"/>
          <w:sz w:val="21"/>
          <w:szCs w:val="21"/>
          <w:lang w:val="en-US" w:eastAsia="zh-CN"/>
        </w:rPr>
        <w:t>11</w:t>
      </w:r>
      <w:r>
        <w:rPr>
          <w:rFonts w:hint="default" w:ascii="Times New Roman" w:hAnsi="Times New Roman" w:eastAsia="宋体" w:cs="Times New Roman"/>
          <w:b w:val="0"/>
          <w:bCs w:val="0"/>
          <w:kern w:val="0"/>
          <w:sz w:val="21"/>
          <w:szCs w:val="21"/>
          <w:lang w:val="en-US" w:eastAsia="zh-CN"/>
        </w:rPr>
        <w:t xml:space="preserve">  </w:t>
      </w:r>
      <w:r>
        <w:rPr>
          <w:rFonts w:hint="default" w:ascii="Times New Roman" w:hAnsi="Times New Roman" w:eastAsia="宋体" w:cs="Times New Roman"/>
          <w:kern w:val="0"/>
          <w:szCs w:val="21"/>
        </w:rPr>
        <w:t>电缆和光缆绝缘和护套材料通用试验方法 第11部分：通用试验方法厚度和外形尺寸测量机械性能试验</w:t>
      </w:r>
    </w:p>
    <w:p w14:paraId="5A16CB1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3048.4  电线电缆电性能试验方法 第4部分：导体直流电阻试验</w:t>
      </w:r>
    </w:p>
    <w:p w14:paraId="185C010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3048.8  电线电缆电性能试验方法 第8部分：交流电压试验</w:t>
      </w:r>
    </w:p>
    <w:p w14:paraId="7140A8CF">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3CC111CB">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3956  电缆的导体</w:t>
      </w:r>
    </w:p>
    <w:p w14:paraId="116A09E4">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6995</w:t>
      </w:r>
      <w:r>
        <w:rPr>
          <w:rFonts w:hint="eastAsia" w:ascii="Times New Roman" w:hAnsi="Times New Roman" w:eastAsia="宋体" w:cs="Times New Roman"/>
          <w:b w:val="0"/>
          <w:bCs w:val="0"/>
          <w:kern w:val="0"/>
          <w:sz w:val="21"/>
          <w:szCs w:val="21"/>
          <w:lang w:val="en-US" w:eastAsia="zh-CN"/>
        </w:rPr>
        <w:t xml:space="preserve">.3  电线电缆识别标志方法 </w:t>
      </w:r>
      <w:r>
        <w:rPr>
          <w:rFonts w:hint="default" w:ascii="Times New Roman" w:hAnsi="Times New Roman" w:eastAsia="宋体" w:cs="Times New Roman"/>
          <w:b w:val="0"/>
          <w:bCs w:val="0"/>
          <w:kern w:val="0"/>
          <w:sz w:val="21"/>
          <w:szCs w:val="21"/>
          <w:lang w:val="en-US" w:eastAsia="zh-CN"/>
        </w:rPr>
        <w:t>第</w:t>
      </w:r>
      <w:r>
        <w:rPr>
          <w:rFonts w:hint="eastAsia" w:ascii="Times New Roman" w:hAnsi="Times New Roman" w:eastAsia="宋体" w:cs="Times New Roman"/>
          <w:b w:val="0"/>
          <w:bCs w:val="0"/>
          <w:kern w:val="0"/>
          <w:sz w:val="21"/>
          <w:szCs w:val="21"/>
          <w:lang w:val="en-US" w:eastAsia="zh-CN"/>
        </w:rPr>
        <w:t>3</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电线电缆识别标志</w:t>
      </w:r>
    </w:p>
    <w:p w14:paraId="1AFF4B32">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 xml:space="preserve">GB/T </w:t>
      </w:r>
      <w:r>
        <w:rPr>
          <w:rFonts w:hint="eastAsia" w:ascii="Times New Roman" w:hAnsi="Times New Roman" w:eastAsia="宋体" w:cs="Times New Roman"/>
          <w:b w:val="0"/>
          <w:bCs w:val="0"/>
          <w:kern w:val="0"/>
          <w:sz w:val="21"/>
          <w:szCs w:val="21"/>
          <w:lang w:val="en-US" w:eastAsia="zh-CN"/>
        </w:rPr>
        <w:t>8170  数值修约规则与极限数值的表示和判定</w:t>
      </w:r>
    </w:p>
    <w:p w14:paraId="54EF424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43069</w:t>
      </w:r>
      <w:r>
        <w:rPr>
          <w:rFonts w:hint="eastAsia" w:ascii="Times New Roman" w:hAnsi="Times New Roman" w:eastAsia="宋体" w:cs="Times New Roman"/>
          <w:b w:val="0"/>
          <w:bCs w:val="0"/>
          <w:kern w:val="0"/>
          <w:sz w:val="21"/>
          <w:szCs w:val="21"/>
          <w:lang w:val="en-US" w:eastAsia="zh-CN"/>
        </w:rPr>
        <w:t xml:space="preserve">  </w:t>
      </w:r>
      <w:r>
        <w:rPr>
          <w:rFonts w:hint="eastAsia" w:ascii="Times New Roman Regular" w:hAnsi="Times New Roman Regular" w:eastAsia="宋体" w:cs="Times New Roman Regular"/>
          <w:b w:val="0"/>
          <w:bCs w:val="0"/>
          <w:kern w:val="0"/>
          <w:sz w:val="21"/>
          <w:szCs w:val="21"/>
          <w:highlight w:val="none"/>
          <w:lang w:val="en-US" w:eastAsia="zh-CN"/>
        </w:rPr>
        <w:t>矿用电缆安全技术要求</w:t>
      </w:r>
    </w:p>
    <w:p w14:paraId="368C770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w:t>
      </w:r>
    </w:p>
    <w:p w14:paraId="40EB6146">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lang w:val="en-US" w:eastAsia="zh-CN"/>
        </w:rPr>
        <w:t>MT 818.</w:t>
      </w:r>
      <w:r>
        <w:rPr>
          <w:rFonts w:hint="eastAsia" w:ascii="Times New Roman" w:hAnsi="Times New Roman" w:eastAsia="宋体" w:cs="Times New Roman"/>
          <w:b w:val="0"/>
          <w:bCs w:val="0"/>
          <w:kern w:val="0"/>
          <w:sz w:val="21"/>
          <w:szCs w:val="21"/>
          <w:lang w:val="en-US" w:eastAsia="zh-CN"/>
        </w:rPr>
        <w:t xml:space="preserve">1  </w:t>
      </w:r>
      <w:r>
        <w:rPr>
          <w:rFonts w:hint="eastAsia" w:ascii="Times New Roman" w:hAnsi="Times New Roman" w:eastAsia="宋体" w:cs="Times New Roman"/>
          <w:b w:val="0"/>
          <w:bCs w:val="0"/>
          <w:kern w:val="0"/>
          <w:sz w:val="21"/>
          <w:szCs w:val="21"/>
          <w:highlight w:val="none"/>
          <w:lang w:val="en-US" w:eastAsia="zh-CN"/>
        </w:rPr>
        <w:t>煤矿用电缆 第1部分：移动类软电缆一般规定</w:t>
      </w:r>
    </w:p>
    <w:p w14:paraId="0D691F1E">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2  煤矿用电缆第2部分：额定电压1.9/3.3</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kV及以下采煤机软电缆</w:t>
      </w:r>
    </w:p>
    <w:p w14:paraId="6B1E3FD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 xml:space="preserve">3  </w:t>
      </w:r>
      <w:r>
        <w:rPr>
          <w:rFonts w:hint="default" w:ascii="Times New Roman" w:hAnsi="Times New Roman" w:eastAsia="宋体" w:cs="Times New Roman"/>
          <w:b w:val="0"/>
          <w:bCs w:val="0"/>
          <w:kern w:val="0"/>
          <w:sz w:val="21"/>
          <w:szCs w:val="21"/>
          <w:lang w:val="en-US" w:eastAsia="zh-CN"/>
        </w:rPr>
        <w:t>煤矿用电缆 第3部分</w:t>
      </w:r>
      <w:r>
        <w:rPr>
          <w:rFonts w:hint="eastAsia" w:ascii="Times New Roman" w:hAnsi="Times New Roman" w:eastAsia="宋体" w:cs="Times New Roman"/>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额定电压1.9/3.3</w:t>
      </w:r>
      <w:r>
        <w:rPr>
          <w:rFonts w:hint="default" w:ascii="Times New Roman" w:hAnsi="Times New Roman" w:eastAsia="宋体" w:cs="Times New Roman"/>
          <w:b w:val="0"/>
          <w:bCs w:val="0"/>
          <w:kern w:val="0"/>
          <w:sz w:val="10"/>
          <w:szCs w:val="10"/>
          <w:lang w:val="en-US" w:eastAsia="zh-CN"/>
        </w:rPr>
        <w:t xml:space="preserve"> </w:t>
      </w:r>
      <w:r>
        <w:rPr>
          <w:rFonts w:hint="default" w:ascii="Times New Roman" w:hAnsi="Times New Roman" w:eastAsia="宋体" w:cs="Times New Roman"/>
          <w:b w:val="0"/>
          <w:bCs w:val="0"/>
          <w:kern w:val="0"/>
          <w:sz w:val="21"/>
          <w:szCs w:val="21"/>
          <w:lang w:val="en-US" w:eastAsia="zh-CN"/>
        </w:rPr>
        <w:t>kV及以下采煤机屏蔽监视加强型软电缆</w:t>
      </w:r>
    </w:p>
    <w:p w14:paraId="705A6A58">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 xml:space="preserve">4  </w:t>
      </w:r>
      <w:r>
        <w:rPr>
          <w:rFonts w:hint="default" w:ascii="Times New Roman" w:hAnsi="Times New Roman" w:eastAsia="宋体" w:cs="Times New Roman"/>
          <w:b w:val="0"/>
          <w:bCs w:val="0"/>
          <w:kern w:val="0"/>
          <w:sz w:val="21"/>
          <w:szCs w:val="21"/>
          <w:lang w:val="en-US" w:eastAsia="zh-CN"/>
        </w:rPr>
        <w:t>煤矿用电缆 第</w:t>
      </w:r>
      <w:r>
        <w:rPr>
          <w:rFonts w:hint="eastAsia" w:ascii="Times New Roman" w:hAnsi="Times New Roman" w:eastAsia="宋体" w:cs="Times New Roman"/>
          <w:b w:val="0"/>
          <w:bCs w:val="0"/>
          <w:kern w:val="0"/>
          <w:sz w:val="21"/>
          <w:szCs w:val="21"/>
          <w:lang w:val="en-US" w:eastAsia="zh-CN"/>
        </w:rPr>
        <w:t>4</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额定电压1.9/3.3</w:t>
      </w:r>
      <w:r>
        <w:rPr>
          <w:rFonts w:hint="default" w:ascii="Times New Roman" w:hAnsi="Times New Roman" w:eastAsia="宋体" w:cs="Times New Roman"/>
          <w:b w:val="0"/>
          <w:bCs w:val="0"/>
          <w:kern w:val="0"/>
          <w:sz w:val="10"/>
          <w:szCs w:val="10"/>
          <w:lang w:val="en-US" w:eastAsia="zh-CN"/>
        </w:rPr>
        <w:t xml:space="preserve"> </w:t>
      </w:r>
      <w:r>
        <w:rPr>
          <w:rFonts w:hint="default" w:ascii="Times New Roman" w:hAnsi="Times New Roman" w:eastAsia="宋体" w:cs="Times New Roman"/>
          <w:b w:val="0"/>
          <w:bCs w:val="0"/>
          <w:kern w:val="0"/>
          <w:sz w:val="21"/>
          <w:szCs w:val="21"/>
          <w:lang w:val="en-US" w:eastAsia="zh-CN"/>
        </w:rPr>
        <w:t>kV及以下采煤机金属屏蔽软电缆</w:t>
      </w:r>
    </w:p>
    <w:p w14:paraId="15A2D49A">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11  煤矿用电缆 第11部分：额定电压10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kV及固定敷设电力电缆一般规定</w:t>
      </w:r>
    </w:p>
    <w:p w14:paraId="3B90D972">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12  煤矿用电缆 第12部分：额定电压1.8/3</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kV及以下煤矿用聚氯乙烯绝缘电力电缆</w:t>
      </w:r>
    </w:p>
    <w:p w14:paraId="5FC2F8F8">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MT/T 818.</w:t>
      </w:r>
      <w:r>
        <w:rPr>
          <w:rFonts w:hint="eastAsia" w:ascii="Times New Roman" w:hAnsi="Times New Roman" w:eastAsia="宋体" w:cs="Times New Roman"/>
          <w:b w:val="0"/>
          <w:bCs w:val="0"/>
          <w:kern w:val="0"/>
          <w:sz w:val="21"/>
          <w:szCs w:val="21"/>
          <w:lang w:val="en-US" w:eastAsia="zh-CN"/>
        </w:rPr>
        <w:t>13  煤矿用电缆 第13部分：额定电压8.7/10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kV及以下煤矿用交联聚乙烯绝缘电力电缆</w:t>
      </w:r>
    </w:p>
    <w:p w14:paraId="7FA30E5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JB/T 8137</w:t>
      </w:r>
      <w:r>
        <w:rPr>
          <w:rFonts w:hint="eastAsia" w:ascii="Times New Roman" w:hAnsi="Times New Roman" w:eastAsia="宋体" w:cs="Times New Roman"/>
          <w:b w:val="0"/>
          <w:bCs w:val="0"/>
          <w:kern w:val="0"/>
          <w:sz w:val="21"/>
          <w:szCs w:val="21"/>
          <w:lang w:val="en-US" w:eastAsia="zh-CN"/>
        </w:rPr>
        <w:t>（所有部分）</w:t>
      </w:r>
      <w:r>
        <w:rPr>
          <w:rFonts w:hint="default" w:ascii="Times New Roman" w:hAnsi="Times New Roman" w:eastAsia="宋体" w:cs="Times New Roman"/>
          <w:b w:val="0"/>
          <w:bCs w:val="0"/>
          <w:kern w:val="0"/>
          <w:sz w:val="21"/>
          <w:szCs w:val="21"/>
          <w:lang w:val="en-US" w:eastAsia="zh-CN"/>
        </w:rPr>
        <w:t xml:space="preserve">  电线电缆交货盘</w:t>
      </w:r>
    </w:p>
    <w:p w14:paraId="32664D11">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33117643"/>
      <w:bookmarkStart w:id="163" w:name="_Toc21510"/>
      <w:bookmarkStart w:id="164" w:name="_Toc4210"/>
      <w:bookmarkStart w:id="165" w:name="_Toc490469307"/>
      <w:bookmarkStart w:id="166" w:name="_Toc404"/>
      <w:bookmarkStart w:id="167" w:name="_Toc19273"/>
      <w:bookmarkStart w:id="168" w:name="_Toc11509"/>
      <w:bookmarkStart w:id="169" w:name="_Toc19178"/>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提出了煤矿固定敷设用电力电缆采购需求制定的一般规定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693748107"/>
      <w:bookmarkStart w:id="173" w:name="_Toc22338"/>
      <w:bookmarkStart w:id="174" w:name="_Toc3275"/>
      <w:bookmarkStart w:id="175" w:name="_Toc22597"/>
      <w:bookmarkStart w:id="176" w:name="_Toc20142"/>
      <w:bookmarkStart w:id="177" w:name="_Toc1707016634"/>
      <w:bookmarkStart w:id="178" w:name="_Toc10399"/>
      <w:bookmarkStart w:id="179" w:name="_Toc15238"/>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煤矿固定敷设用电力电缆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594527365"/>
      <w:bookmarkStart w:id="181" w:name="_Toc1135714786"/>
      <w:bookmarkStart w:id="182" w:name="_Toc14889"/>
      <w:bookmarkStart w:id="183" w:name="_Toc15538"/>
      <w:bookmarkStart w:id="184" w:name="_Toc23278"/>
      <w:bookmarkStart w:id="185" w:name="_Toc17576"/>
      <w:bookmarkStart w:id="186" w:name="_Toc32224"/>
      <w:bookmarkStart w:id="187" w:name="_Toc12972"/>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159"/>
      <w:bookmarkStart w:id="189" w:name="_Toc28244"/>
      <w:bookmarkStart w:id="190" w:name="_Toc2387"/>
      <w:bookmarkStart w:id="191" w:name="_Toc21998"/>
      <w:bookmarkStart w:id="192" w:name="_Toc772992642"/>
      <w:bookmarkStart w:id="193" w:name="_Toc6175"/>
      <w:bookmarkStart w:id="194" w:name="_Toc28483"/>
      <w:bookmarkStart w:id="195" w:name="_Toc1123753766"/>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21551"/>
      <w:bookmarkStart w:id="204" w:name="_Toc220"/>
      <w:bookmarkStart w:id="205" w:name="_Toc14213"/>
      <w:bookmarkStart w:id="206" w:name="_Toc25375"/>
      <w:bookmarkStart w:id="207" w:name="_Toc385498374"/>
      <w:bookmarkStart w:id="208" w:name="_Toc1376651796"/>
      <w:bookmarkStart w:id="209" w:name="_Toc31550"/>
      <w:bookmarkStart w:id="210" w:name="_Toc5932"/>
      <w:bookmarkStart w:id="211" w:name="_Toc23786"/>
      <w:bookmarkStart w:id="212" w:name="_Toc2107"/>
      <w:bookmarkStart w:id="213" w:name="_Toc31065"/>
      <w:bookmarkStart w:id="214" w:name="_Toc17639"/>
      <w:bookmarkStart w:id="215" w:name="_Toc30636"/>
      <w:bookmarkStart w:id="216" w:name="_Toc4353"/>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397922594"/>
      <w:bookmarkStart w:id="218" w:name="_Toc4678"/>
      <w:bookmarkStart w:id="219" w:name="_Toc24824"/>
      <w:bookmarkStart w:id="220" w:name="_Toc9147"/>
      <w:bookmarkStart w:id="221" w:name="_Toc14748"/>
      <w:bookmarkStart w:id="222" w:name="_Toc113008819"/>
      <w:bookmarkStart w:id="223" w:name="_Toc30374"/>
      <w:bookmarkStart w:id="224" w:name="_Toc23317"/>
      <w:bookmarkStart w:id="225" w:name="_Toc16446"/>
      <w:bookmarkStart w:id="226" w:name="_Toc15080"/>
      <w:bookmarkStart w:id="227" w:name="_Toc20007"/>
      <w:bookmarkStart w:id="228" w:name="_Toc26432"/>
      <w:bookmarkStart w:id="229" w:name="_Toc8894"/>
      <w:bookmarkStart w:id="230" w:name="_Toc24438"/>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32756"/>
      <w:bookmarkStart w:id="232" w:name="_Toc636"/>
      <w:bookmarkStart w:id="233" w:name="_Toc15132"/>
      <w:bookmarkStart w:id="234" w:name="_Toc394"/>
      <w:bookmarkStart w:id="235" w:name="_Toc21166"/>
      <w:bookmarkStart w:id="236" w:name="_Toc30979"/>
      <w:bookmarkStart w:id="237" w:name="_Toc4728"/>
      <w:bookmarkStart w:id="238" w:name="_Toc620960600"/>
      <w:bookmarkStart w:id="239" w:name="_Toc14320"/>
      <w:bookmarkStart w:id="240" w:name="_Toc963676985"/>
      <w:bookmarkStart w:id="241" w:name="_Toc21425"/>
      <w:bookmarkStart w:id="242" w:name="_Toc26590"/>
      <w:bookmarkStart w:id="243" w:name="_Toc21972"/>
      <w:bookmarkStart w:id="244" w:name="_Toc29139"/>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5B7153"/>
    <w:rsid w:val="3F659F57"/>
    <w:rsid w:val="3F7A8AD6"/>
    <w:rsid w:val="3F7BF511"/>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3FFFE01F"/>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296742"/>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7FF1A52"/>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B6D6E"/>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77AB374"/>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BB02A"/>
    <w:rsid w:val="9FFE01CE"/>
    <w:rsid w:val="9FFF33E7"/>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C95546"/>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7FDEE6"/>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93BDE0"/>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4545</Words>
  <Characters>4842</Characters>
  <Lines>1</Lines>
  <Paragraphs>1</Paragraphs>
  <TotalTime>0</TotalTime>
  <ScaleCrop>false</ScaleCrop>
  <LinksUpToDate>false</LinksUpToDate>
  <CharactersWithSpaces>5021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82C36311659B3BF2A6FD9A680E0E50B9_43</vt:lpwstr>
  </property>
  <property fmtid="{D5CDD505-2E9C-101B-9397-08002B2CF9AE}" pid="4" name="KSOTemplateDocerSaveRecord">
    <vt:lpwstr>eyJoZGlkIjoiMDAyMzk0Mjc5MWJmOWM2MjBiMzRjY2ZhNmE0NDA1YTAiLCJ1c2VySWQiOiIzNDU5ODMyMjcifQ==</vt:lpwstr>
  </property>
</Properties>
</file>