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en-US" w:eastAsia="zh-CN"/>
        </w:rPr>
        <w:t>煤矿</w:t>
      </w:r>
      <w:r>
        <w:rPr>
          <w:rFonts w:hint="eastAsia" w:ascii="黑体" w:hAnsi="黑体" w:eastAsia="黑体" w:cs="黑体"/>
          <w:b/>
          <w:bCs/>
          <w:w w:val="95"/>
          <w:sz w:val="52"/>
          <w:szCs w:val="52"/>
          <w:lang w:val="zh-CN"/>
        </w:rPr>
        <w:t>企业电线电缆采购技术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3</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煤矿用移动金属屏蔽监视型橡套软电缆</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142841718"/>
          <w:lang w:val="en-US"/>
        </w:rPr>
        <w:t>编制说</w:t>
      </w:r>
      <w:r>
        <w:rPr>
          <w:rFonts w:hint="eastAsia" w:ascii="黑体" w:hAnsi="黑体" w:eastAsia="黑体" w:cs="黑体"/>
          <w:b/>
          <w:bCs/>
          <w:spacing w:val="1"/>
          <w:kern w:val="0"/>
          <w:sz w:val="52"/>
          <w:szCs w:val="52"/>
          <w:fitText w:val="3120" w:id="2142841718"/>
          <w:lang w:val="en-US"/>
        </w:rPr>
        <w:t>明</w:t>
      </w: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3AF4EEA2">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7AFDEED4">
      <w:pPr>
        <w:pStyle w:val="18"/>
        <w:spacing w:before="0" w:beforeAutospacing="0" w:after="0" w:afterAutospacing="0"/>
        <w:jc w:val="both"/>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28983"/>
      <w:bookmarkStart w:id="2" w:name="_Toc155256224"/>
      <w:bookmarkStart w:id="3" w:name="_Toc26336"/>
      <w:bookmarkStart w:id="4" w:name="_Toc467852381"/>
      <w:bookmarkStart w:id="5" w:name="_Toc23793"/>
      <w:bookmarkStart w:id="6" w:name="_Toc28110"/>
      <w:bookmarkStart w:id="7" w:name="_Toc476665731"/>
      <w:bookmarkStart w:id="8" w:name="_Toc1665062136"/>
      <w:bookmarkStart w:id="9" w:name="_Toc1563290462"/>
      <w:bookmarkStart w:id="10" w:name="_Toc25758"/>
      <w:bookmarkStart w:id="11" w:name="_Toc472000152"/>
      <w:bookmarkStart w:id="12" w:name="_Toc24681"/>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8</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3</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7173"/>
      <w:bookmarkStart w:id="14" w:name="_Toc7834"/>
      <w:bookmarkStart w:id="15" w:name="_Toc1684"/>
      <w:bookmarkStart w:id="16" w:name="_Toc474794126"/>
      <w:bookmarkStart w:id="17" w:name="_Toc32428"/>
      <w:bookmarkStart w:id="18" w:name="_Toc2273"/>
      <w:bookmarkStart w:id="19" w:name="_Toc262095872"/>
      <w:bookmarkStart w:id="20" w:name="_Toc10066"/>
      <w:bookmarkStart w:id="21" w:name="_Toc13053"/>
      <w:bookmarkStart w:id="22" w:name="_Toc6506"/>
      <w:bookmarkStart w:id="23" w:name="_Toc26735"/>
      <w:bookmarkStart w:id="24" w:name="_Toc26147"/>
      <w:bookmarkStart w:id="25" w:name="_Toc8672"/>
      <w:bookmarkStart w:id="26" w:name="_Toc28305"/>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17126"/>
      <w:bookmarkStart w:id="28" w:name="_Toc19019"/>
      <w:bookmarkStart w:id="29" w:name="_Toc556360707"/>
      <w:bookmarkStart w:id="30" w:name="_Toc8748"/>
      <w:bookmarkStart w:id="31" w:name="_Toc1963127077"/>
      <w:bookmarkStart w:id="32" w:name="_Toc12774"/>
      <w:bookmarkStart w:id="33" w:name="_Toc11618"/>
      <w:bookmarkStart w:id="34" w:name="_Toc546"/>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《煤矿企业电线电缆采购技术规范 第3部分：煤矿用移动金属屏蔽监视型橡套软电缆》系T/CTBA XXXX《煤矿企业电线电缆采购技术规范》的第3部分，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XXXX《煤矿企业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24930"/>
      <w:bookmarkStart w:id="36" w:name="_Toc32418"/>
      <w:bookmarkStart w:id="37" w:name="_Toc7245"/>
      <w:bookmarkStart w:id="38" w:name="_Toc610603511"/>
      <w:bookmarkStart w:id="39" w:name="_Toc19726"/>
      <w:bookmarkStart w:id="40" w:name="_Toc9349"/>
      <w:bookmarkStart w:id="41" w:name="_Toc13791"/>
      <w:bookmarkStart w:id="42" w:name="_Toc338030631"/>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11138"/>
      <w:bookmarkStart w:id="44" w:name="_Toc15370"/>
      <w:bookmarkStart w:id="45" w:name="_Toc1736344011"/>
      <w:bookmarkStart w:id="46" w:name="_Toc29490"/>
      <w:bookmarkStart w:id="47" w:name="_Toc29426"/>
      <w:bookmarkStart w:id="48" w:name="_Toc26444"/>
      <w:bookmarkStart w:id="49" w:name="_Toc1186568902"/>
      <w:bookmarkStart w:id="50" w:name="_Toc4636"/>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1133"/>
      <w:bookmarkStart w:id="52" w:name="_Toc12796"/>
      <w:bookmarkStart w:id="53" w:name="_Toc1130389872"/>
      <w:bookmarkStart w:id="54" w:name="_Toc11490"/>
      <w:bookmarkStart w:id="55" w:name="_Toc11739"/>
      <w:bookmarkStart w:id="56" w:name="_Toc28989"/>
      <w:bookmarkStart w:id="57" w:name="_Toc578513794"/>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bCs w:val="0"/>
          <w:sz w:val="21"/>
          <w:szCs w:val="21"/>
          <w:lang w:val="en-US" w:eastAsia="zh-CN"/>
        </w:rPr>
        <w:t>中国招标投标协会企业物资采购技术标准与碳标签工作部</w:t>
      </w:r>
      <w:r>
        <w:rPr>
          <w:rFonts w:hint="default" w:ascii="Times New Roman Regular" w:hAnsi="Times New Roman Regular" w:eastAsia="宋体" w:cs="Times New Roman Regular"/>
          <w:b w:val="0"/>
          <w:kern w:val="2"/>
          <w:sz w:val="21"/>
          <w:szCs w:val="21"/>
          <w:lang w:val="en-US" w:eastAsia="zh-CN"/>
        </w:rPr>
        <w:t>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eastAsia="zh-CN"/>
        </w:rPr>
        <w:t>；</w:t>
      </w:r>
      <w:r>
        <w:rPr>
          <w:rFonts w:hint="default" w:ascii="Times New Roman Regular" w:hAnsi="Times New Roman Regular" w:eastAsia="宋体" w:cs="Times New Roman Regular"/>
          <w:b w:val="0"/>
          <w:sz w:val="21"/>
          <w:szCs w:val="21"/>
          <w:lang w:val="en-US" w:eastAsia="zh-CN"/>
        </w:rPr>
        <w:t>同时决定以光伏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电缆为试点，成立《发电企业电线电缆采购技术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电缆》编制组，探索开启编制工作。</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10961"/>
      <w:bookmarkStart w:id="59" w:name="_Toc3351"/>
      <w:bookmarkStart w:id="60" w:name="_Toc4142"/>
      <w:bookmarkStart w:id="61" w:name="_Toc1822237342"/>
      <w:bookmarkStart w:id="62" w:name="_Toc1422865789"/>
      <w:bookmarkStart w:id="63" w:name="_Toc25711"/>
      <w:bookmarkStart w:id="64" w:name="_Toc10360"/>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219113A4">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2024年4月29日，中国招标投标协会发布《发电企业电线电缆采购技术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公示，公示期为2024年4月29日至2024年5月14日</w:t>
      </w:r>
      <w:r>
        <w:rPr>
          <w:rFonts w:hint="default" w:ascii="Times New Roman Regular" w:hAnsi="Times New Roman Regular" w:eastAsia="宋体" w:cs="Times New Roman Regular"/>
          <w:b w:val="0"/>
          <w:sz w:val="21"/>
          <w:szCs w:val="21"/>
        </w:rPr>
        <w:t>。</w:t>
      </w:r>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w:t>
      </w:r>
      <w:r>
        <w:rPr>
          <w:rFonts w:hint="eastAsia" w:ascii="Times New Roman Regular" w:hAnsi="Times New Roman Regular" w:eastAsia="宋体" w:cs="Times New Roman Regular"/>
          <w:b w:val="0"/>
          <w:sz w:val="21"/>
          <w:szCs w:val="21"/>
          <w:lang w:val="en-US" w:eastAsia="zh-CN"/>
        </w:rPr>
        <w:t>煤矿</w:t>
      </w:r>
      <w:r>
        <w:rPr>
          <w:rFonts w:hint="default" w:ascii="Times New Roman Regular" w:hAnsi="Times New Roman Regular" w:eastAsia="宋体" w:cs="Times New Roman Regular"/>
          <w:b w:val="0"/>
          <w:sz w:val="21"/>
          <w:szCs w:val="21"/>
          <w:lang w:val="en-US" w:eastAsia="zh-CN"/>
        </w:rPr>
        <w:t>企业电线电缆采购技术</w:t>
      </w:r>
      <w:r>
        <w:rPr>
          <w:rFonts w:hint="eastAsia" w:ascii="Times New Roman Regular" w:hAnsi="Times New Roman Regular" w:eastAsia="宋体" w:cs="Times New Roman Regular"/>
          <w:b w:val="0"/>
          <w:sz w:val="21"/>
          <w:szCs w:val="21"/>
          <w:lang w:val="en-US" w:eastAsia="zh-CN"/>
        </w:rPr>
        <w:t>规范 第3部分：煤矿用移动金属屏蔽监视型橡套软电缆</w:t>
      </w:r>
      <w:r>
        <w:rPr>
          <w:rFonts w:hint="default" w:ascii="Times New Roman Regular" w:hAnsi="Times New Roman Regular" w:eastAsia="宋体" w:cs="Times New Roman Regular"/>
          <w:b w:val="0"/>
          <w:sz w:val="21"/>
          <w:szCs w:val="21"/>
          <w:lang w:val="en-US" w:eastAsia="zh-CN"/>
        </w:rPr>
        <w:t>》</w:t>
      </w:r>
      <w:r>
        <w:rPr>
          <w:rFonts w:hint="eastAsia" w:ascii="Times New Roman Regular" w:hAnsi="Times New Roman Regular" w:eastAsia="宋体" w:cs="Times New Roman Regular"/>
          <w:b w:val="0"/>
          <w:sz w:val="21"/>
          <w:szCs w:val="21"/>
          <w:lang w:val="en-US" w:eastAsia="zh-CN"/>
        </w:rPr>
        <w:t>等27个</w:t>
      </w:r>
      <w:r>
        <w:rPr>
          <w:rFonts w:hint="default" w:ascii="Times New Roman Regular" w:hAnsi="Times New Roman Regular" w:eastAsia="宋体" w:cs="Times New Roman Regular"/>
          <w:b w:val="0"/>
          <w:sz w:val="21"/>
          <w:szCs w:val="21"/>
          <w:lang w:val="en-US" w:eastAsia="zh-CN"/>
        </w:rPr>
        <w:t>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19751"/>
      <w:bookmarkStart w:id="66" w:name="_Toc24042"/>
      <w:bookmarkStart w:id="67" w:name="_Toc1078717127"/>
      <w:bookmarkStart w:id="68" w:name="_Toc1874906378"/>
      <w:bookmarkStart w:id="69" w:name="_Toc13373"/>
      <w:bookmarkStart w:id="70" w:name="_Toc14673"/>
      <w:bookmarkStart w:id="71" w:name="_Toc16113"/>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6</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至2025年5月，组织标准起草单位，开启标准编制工作，分工如下：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国家能源集团物资有限公司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w:t>
            </w:r>
            <w:r>
              <w:rPr>
                <w:rFonts w:hint="eastAsia" w:ascii="Times New Roman Regular" w:hAnsi="Times New Roman Regular" w:eastAsia="宋体" w:cs="Times New Roman Regular"/>
                <w:sz w:val="18"/>
                <w:szCs w:val="18"/>
                <w:lang w:val="en-US" w:eastAsia="zh-CN"/>
              </w:rPr>
              <w:t>煤矿用移动金属屏蔽监视型橡套软电缆</w:t>
            </w:r>
            <w:r>
              <w:rPr>
                <w:rFonts w:hint="default" w:ascii="Times New Roman Regular" w:hAnsi="Times New Roman Regular" w:eastAsia="宋体" w:cs="Times New Roman Regular"/>
                <w:sz w:val="18"/>
                <w:szCs w:val="18"/>
                <w:lang w:val="en-US" w:eastAsia="zh-CN"/>
              </w:rPr>
              <w:t>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eastAsia" w:ascii="Times New Roman Regular" w:hAnsi="Times New Roman Regular" w:eastAsia="宋体" w:cs="Times New Roman Regular"/>
                <w:sz w:val="18"/>
                <w:szCs w:val="18"/>
                <w:lang w:val="en-US" w:eastAsia="zh-CN"/>
              </w:rPr>
              <w:t>煤矿用移动金属屏蔽监视型橡套软电缆</w:t>
            </w:r>
            <w:r>
              <w:rPr>
                <w:rFonts w:hint="default" w:ascii="Times New Roman Regular" w:hAnsi="Times New Roman Regular" w:eastAsia="宋体" w:cs="Times New Roman Regular"/>
                <w:sz w:val="18"/>
                <w:szCs w:val="18"/>
                <w:lang w:val="en-US" w:eastAsia="zh-CN"/>
              </w:rPr>
              <w:t>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中煤能源供应链管理（北京）有限责任公司、华润电力投资有限公司、</w:t>
            </w:r>
            <w:bookmarkStart w:id="245" w:name="_GoBack"/>
            <w:bookmarkEnd w:id="245"/>
            <w:r>
              <w:rPr>
                <w:rFonts w:hint="default" w:ascii="Times New Roman Regular" w:hAnsi="Times New Roman Regular" w:eastAsia="宋体" w:cs="Times New Roman Regular"/>
                <w:sz w:val="18"/>
                <w:szCs w:val="18"/>
                <w:lang w:val="en-US" w:eastAsia="zh-CN"/>
              </w:rPr>
              <w:t>内蒙古能源集团有限公司、北京京能招标集采中心有限责任公司、上海宝华国际招标有限公司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中煤科工集团沈阳设计研究院有限公司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上海煤科检测技术有限公司、抚顺中煤科工检测中心有限公司、武汉产品质量监督检验所[国家电线电缆产品质量检验检测中心（武汉）]、安徽宇测线缆检测技术有限公司[国家特种电线电缆产品质量检验检测中心（安徽）]、中正智信检验认证股份有限公司</w:t>
            </w:r>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313" w:beforeLines="10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6</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至11月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sz w:val="21"/>
          <w:szCs w:val="21"/>
          <w:lang w:val="en-US" w:eastAsia="zh-CN"/>
        </w:rPr>
        <w:t>煤矿用移动金属屏蔽监视型橡套软电缆</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11</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22日，召开《煤矿企业电线电缆采购技术规范 第3部分：煤矿用移动金属屏蔽监视型橡套软电缆》第一次编制工作会，审议《工作组讨论稿》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11—12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1—7</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8</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17271"/>
      <w:bookmarkStart w:id="74" w:name="_Toc31329"/>
      <w:bookmarkStart w:id="75" w:name="_Toc25549"/>
      <w:bookmarkStart w:id="76" w:name="_Toc1482"/>
      <w:bookmarkStart w:id="77" w:name="_Toc16201"/>
      <w:bookmarkStart w:id="78" w:name="_Toc22777"/>
      <w:bookmarkStart w:id="79" w:name="_Toc17840"/>
      <w:bookmarkStart w:id="80" w:name="_Toc31694"/>
      <w:bookmarkStart w:id="81" w:name="_Toc21766"/>
      <w:bookmarkStart w:id="82" w:name="_Toc1326"/>
      <w:bookmarkStart w:id="83" w:name="_Toc941805515"/>
      <w:bookmarkStart w:id="84" w:name="_Toc1523942615"/>
      <w:bookmarkStart w:id="85" w:name="_Toc18777"/>
      <w:bookmarkStart w:id="86" w:name="_Toc17300"/>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CE2751">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006.1</w:t>
      </w:r>
      <w:r>
        <w:rPr>
          <w:rFonts w:hint="eastAsia" w:ascii="Times New Roman Regular" w:hAnsi="Times New Roman Regular" w:eastAsia="宋体" w:cs="Times New Roman Regular"/>
          <w:sz w:val="21"/>
          <w:szCs w:val="21"/>
          <w:lang w:val="en-US" w:eastAsia="zh-CN"/>
        </w:rPr>
        <w:t>《发电企业电线电缆采购技术规范 第1部分：光伏发电系统用直流电缆》于2025年3月27日正式发布，标准名称由《发电企业电线电缆采购技术标准》改为《发电企业电线电缆采购技术规范》，故《煤矿企业电线电缆采购技术标准》也相应作了更改，本部分由《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标准</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3</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煤矿用移动金属屏蔽监视型橡套软电缆》更名</w:t>
      </w:r>
      <w:r>
        <w:rPr>
          <w:rFonts w:hint="default" w:ascii="Times New Roman Regular" w:hAnsi="Times New Roman Regular" w:eastAsia="宋体" w:cs="Times New Roman Regular"/>
          <w:sz w:val="21"/>
          <w:szCs w:val="21"/>
          <w:lang w:val="en-US" w:eastAsia="zh-CN"/>
        </w:rPr>
        <w:t>为</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3</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煤矿用移动金属屏蔽监视型橡套软电缆</w:t>
      </w:r>
      <w:r>
        <w:rPr>
          <w:rFonts w:hint="default" w:ascii="Times New Roman Regular" w:hAnsi="Times New Roman Regular" w:eastAsia="宋体" w:cs="Times New Roman Regular"/>
          <w:sz w:val="21"/>
          <w:szCs w:val="21"/>
          <w:lang w:val="en-US" w:eastAsia="zh-CN"/>
        </w:rPr>
        <w:t>》。</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16264"/>
      <w:bookmarkStart w:id="88" w:name="_Toc23084"/>
      <w:bookmarkStart w:id="89" w:name="_Toc4698"/>
      <w:bookmarkStart w:id="90" w:name="_Toc29105"/>
      <w:bookmarkStart w:id="91" w:name="_Toc17477"/>
      <w:bookmarkStart w:id="92" w:name="_Toc250"/>
      <w:bookmarkStart w:id="93" w:name="_Toc29697"/>
      <w:bookmarkStart w:id="94" w:name="_Toc21633"/>
      <w:bookmarkStart w:id="95" w:name="_Toc5485"/>
      <w:bookmarkStart w:id="96" w:name="_Toc2013556183"/>
      <w:bookmarkStart w:id="97" w:name="_Toc1970812215"/>
      <w:bookmarkStart w:id="98" w:name="_Toc10148"/>
      <w:bookmarkStart w:id="99" w:name="_Toc766"/>
      <w:bookmarkStart w:id="100" w:name="_Toc27860"/>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653126177"/>
      <w:bookmarkStart w:id="102" w:name="_Toc629"/>
      <w:bookmarkStart w:id="103" w:name="_Toc11837"/>
      <w:bookmarkStart w:id="104" w:name="_Toc22135"/>
      <w:bookmarkStart w:id="105" w:name="_Toc2507"/>
      <w:bookmarkStart w:id="106" w:name="_Toc1791458255"/>
      <w:bookmarkStart w:id="107" w:name="_Toc7095"/>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19756"/>
      <w:bookmarkStart w:id="109" w:name="_Toc1783"/>
      <w:bookmarkStart w:id="110" w:name="_Toc1975"/>
      <w:bookmarkStart w:id="111" w:name="_Toc15922"/>
      <w:bookmarkStart w:id="112" w:name="_Toc1302737022"/>
      <w:bookmarkStart w:id="113" w:name="_Toc1318160845"/>
      <w:bookmarkStart w:id="114" w:name="_Toc9906"/>
      <w:bookmarkStart w:id="115" w:name="_Toc8568"/>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888019463"/>
      <w:bookmarkStart w:id="117" w:name="_Toc22068"/>
      <w:bookmarkStart w:id="118" w:name="_Toc32176"/>
      <w:bookmarkStart w:id="119" w:name="_Toc11494"/>
      <w:bookmarkStart w:id="120" w:name="_Toc1505347589"/>
      <w:bookmarkStart w:id="121" w:name="_Toc9954"/>
      <w:bookmarkStart w:id="122" w:name="_Toc473"/>
      <w:bookmarkStart w:id="123" w:name="_Toc6626"/>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eastAsia" w:ascii="Times New Roman Regular" w:hAnsi="Times New Roman Regular" w:eastAsia="宋体" w:cs="Times New Roman Regular"/>
          <w:sz w:val="21"/>
          <w:szCs w:val="21"/>
          <w:lang w:val="en-US" w:eastAsia="zh-CN"/>
        </w:rPr>
        <w:t>矿用</w:t>
      </w:r>
      <w:r>
        <w:rPr>
          <w:rFonts w:hint="default" w:ascii="Times New Roman Regular" w:hAnsi="Times New Roman Regular" w:eastAsia="宋体" w:cs="Times New Roman Regular"/>
          <w:sz w:val="21"/>
          <w:szCs w:val="21"/>
          <w:lang w:val="en-US" w:eastAsia="zh-CN"/>
        </w:rPr>
        <w:t>电缆行业标准、国际标准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30308"/>
      <w:bookmarkStart w:id="125" w:name="_Toc21195"/>
      <w:bookmarkStart w:id="126" w:name="_Toc11207"/>
      <w:bookmarkStart w:id="127" w:name="_Toc26131"/>
      <w:bookmarkStart w:id="128" w:name="_Toc2079251638"/>
      <w:bookmarkStart w:id="129" w:name="_Toc25167"/>
      <w:bookmarkStart w:id="130" w:name="_Toc872083016"/>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sz w:val="21"/>
          <w:szCs w:val="21"/>
          <w:lang w:val="en-US" w:eastAsia="zh-CN"/>
        </w:rPr>
        <w:t>煤矿用移动金属屏蔽监视型橡套软电缆</w:t>
      </w:r>
      <w:r>
        <w:rPr>
          <w:rFonts w:hint="default" w:ascii="Times New Roman Regular" w:hAnsi="Times New Roman Regular" w:eastAsia="宋体" w:cs="Times New Roman Regular"/>
          <w:sz w:val="21"/>
          <w:szCs w:val="21"/>
          <w:lang w:val="en-US" w:eastAsia="zh-CN"/>
        </w:rPr>
        <w:t>招投标中</w:t>
      </w:r>
      <w:r>
        <w:rPr>
          <w:rFonts w:hint="default" w:ascii="Times New Roman Regular" w:hAnsi="Times New Roman Regular" w:eastAsia="宋体" w:cs="Times New Roman Regular"/>
          <w:sz w:val="21"/>
          <w:szCs w:val="21"/>
        </w:rPr>
        <w:t>存在的问题，归纳总结出</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6290"/>
      <w:bookmarkStart w:id="132" w:name="_Toc20175"/>
      <w:bookmarkStart w:id="133" w:name="_Toc1810"/>
      <w:bookmarkStart w:id="134" w:name="_Toc23960"/>
      <w:bookmarkStart w:id="135" w:name="_Toc2701"/>
      <w:bookmarkStart w:id="136" w:name="_Toc28592"/>
      <w:bookmarkStart w:id="137" w:name="_Toc21031"/>
      <w:bookmarkStart w:id="138" w:name="_Toc3759"/>
      <w:bookmarkStart w:id="139" w:name="_Toc10968"/>
      <w:bookmarkStart w:id="140" w:name="_Toc16282"/>
      <w:bookmarkStart w:id="141" w:name="_Toc9905"/>
      <w:bookmarkStart w:id="142" w:name="_Toc2128375882"/>
      <w:bookmarkStart w:id="143" w:name="_Toc523359137"/>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978340695"/>
      <w:bookmarkStart w:id="145" w:name="_Toc3997447"/>
      <w:bookmarkStart w:id="146" w:name="_Toc1178"/>
      <w:bookmarkStart w:id="147" w:name="_Toc10765"/>
      <w:bookmarkStart w:id="148" w:name="_Toc14559"/>
      <w:bookmarkStart w:id="149" w:name="_Toc5227"/>
      <w:bookmarkStart w:id="150" w:name="_Toc11516"/>
      <w:bookmarkStart w:id="151" w:name="_Toc2017"/>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613098672"/>
      <w:bookmarkStart w:id="153" w:name="_Toc1837259433"/>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7C0C8176">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bookmarkStart w:id="154" w:name="_Toc19290"/>
      <w:bookmarkStart w:id="155" w:name="_Toc31433"/>
      <w:bookmarkStart w:id="156" w:name="_Toc970"/>
      <w:bookmarkStart w:id="157" w:name="_Toc25529"/>
      <w:bookmarkStart w:id="158" w:name="_Toc8409"/>
      <w:bookmarkStart w:id="159" w:name="_Toc23273"/>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煤矿用移动金属屏蔽监视型橡套软电缆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4DC1121E">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本文件适用于煤矿用移动金属屏蔽监视型橡套软电缆招标采购活动，供招标采购人和供应商参考使用。</w:t>
      </w:r>
    </w:p>
    <w:p w14:paraId="79449E5D">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722841998"/>
      <w:bookmarkStart w:id="161" w:name="_Toc15193021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3EA5780">
      <w:pPr>
        <w:spacing w:line="360" w:lineRule="auto"/>
        <w:ind w:firstLine="420" w:firstLineChars="200"/>
        <w:rPr>
          <w:rFonts w:hint="eastAsia" w:ascii="Times New Roman" w:hAnsi="Times New Roman" w:cs="Times New Roman" w:eastAsiaTheme="majorEastAsia"/>
          <w:bCs w:val="0"/>
          <w:color w:val="auto"/>
          <w:sz w:val="21"/>
          <w:szCs w:val="21"/>
          <w:shd w:val="clear" w:color="auto" w:fill="FFFFFF"/>
          <w:lang w:val="en-US" w:eastAsia="zh-CN"/>
        </w:rPr>
      </w:pPr>
      <w:r>
        <w:rPr>
          <w:rFonts w:hint="default" w:ascii="Times New Roman" w:hAnsi="Times New Roman" w:cs="Times New Roman" w:eastAsiaTheme="majorEastAsia"/>
          <w:sz w:val="21"/>
          <w:szCs w:val="21"/>
        </w:rPr>
        <w:t>GB</w:t>
      </w:r>
      <w:r>
        <w:rPr>
          <w:rFonts w:hint="default" w:ascii="Times New Roman" w:hAnsi="Times New Roman" w:eastAsia="宋体" w:cs="Times New Roman"/>
          <w:sz w:val="21"/>
          <w:szCs w:val="21"/>
        </w:rPr>
        <w:t>/</w:t>
      </w:r>
      <w:r>
        <w:rPr>
          <w:rFonts w:hint="default" w:ascii="Times New Roman" w:hAnsi="Times New Roman" w:cs="Times New Roman" w:eastAsiaTheme="majorEastAsia"/>
          <w:sz w:val="21"/>
          <w:szCs w:val="21"/>
        </w:rPr>
        <w:t>T 2951.1</w:t>
      </w:r>
      <w:r>
        <w:rPr>
          <w:rFonts w:hint="eastAsia" w:ascii="Times New Roman" w:hAnsi="Times New Roman" w:cs="Times New Roman" w:eastAsiaTheme="majorEastAsia"/>
          <w:sz w:val="21"/>
          <w:szCs w:val="21"/>
          <w:lang w:val="en-US" w:eastAsia="zh-CN"/>
        </w:rPr>
        <w:t>1</w:t>
      </w:r>
      <w:r>
        <w:rPr>
          <w:rFonts w:hint="default" w:ascii="Times New Roman" w:hAnsi="Times New Roman" w:eastAsia="宋体" w:cs="Times New Roman"/>
          <w:b w:val="0"/>
          <w:bCs w:val="0"/>
          <w:kern w:val="0"/>
          <w:sz w:val="21"/>
          <w:szCs w:val="21"/>
          <w:lang w:val="en-US" w:eastAsia="zh-CN"/>
        </w:rPr>
        <w:t xml:space="preserve">  电缆和光缆绝缘和护套材料通用试验方法 第11部分：通用试验方法 厚度和外形尺寸测量 机械性能试验</w:t>
      </w:r>
    </w:p>
    <w:p w14:paraId="23C38498">
      <w:pPr>
        <w:spacing w:line="360" w:lineRule="auto"/>
        <w:ind w:firstLine="420" w:firstLineChars="200"/>
        <w:rPr>
          <w:rFonts w:hint="default" w:ascii="Times New Roman" w:hAnsi="Times New Roman" w:cs="Times New Roman" w:eastAsiaTheme="minorEastAsia"/>
          <w:bCs w:val="0"/>
          <w:color w:val="auto"/>
          <w:sz w:val="21"/>
          <w:szCs w:val="21"/>
          <w:shd w:val="clear" w:color="auto" w:fill="FFFFFF"/>
          <w:lang w:val="en-US" w:eastAsia="zh-CN"/>
        </w:rPr>
      </w:pPr>
      <w:r>
        <w:rPr>
          <w:rFonts w:hint="default" w:ascii="Times New Roman" w:hAnsi="Times New Roman" w:cs="Times New Roman"/>
          <w:sz w:val="21"/>
          <w:szCs w:val="21"/>
          <w:highlight w:val="none"/>
        </w:rPr>
        <w:t>GB/T 3048.</w:t>
      </w:r>
      <w:r>
        <w:rPr>
          <w:rFonts w:hint="default" w:ascii="Times New Roman" w:hAnsi="Times New Roman" w:cs="Times New Roman"/>
          <w:sz w:val="21"/>
          <w:szCs w:val="21"/>
          <w:highlight w:val="none"/>
          <w:lang w:val="en-US" w:eastAsia="zh-CN"/>
        </w:rPr>
        <w:t>4</w:t>
      </w:r>
      <w:r>
        <w:rPr>
          <w:rFonts w:hint="default" w:ascii="Times New Roman" w:hAnsi="Times New Roman" w:eastAsia="宋体" w:cs="Times New Roman"/>
          <w:b w:val="0"/>
          <w:bCs w:val="0"/>
          <w:kern w:val="0"/>
          <w:sz w:val="21"/>
          <w:szCs w:val="21"/>
          <w:lang w:val="en-US" w:eastAsia="zh-CN"/>
        </w:rPr>
        <w:t xml:space="preserve">  电线电缆电性能试验方法 第4部分：导体直流电阻试验</w:t>
      </w:r>
    </w:p>
    <w:p w14:paraId="07C23C49">
      <w:pPr>
        <w:spacing w:line="360" w:lineRule="auto"/>
        <w:ind w:firstLine="420" w:firstLineChars="200"/>
        <w:rPr>
          <w:rFonts w:hint="default" w:ascii="Times New Roman" w:hAnsi="Times New Roman" w:cs="Times New Roman" w:eastAsiaTheme="minorEastAsia"/>
          <w:bCs w:val="0"/>
          <w:color w:val="auto"/>
          <w:sz w:val="21"/>
          <w:szCs w:val="21"/>
          <w:shd w:val="clear" w:color="auto" w:fill="FFFFFF"/>
          <w:lang w:val="en-US" w:eastAsia="zh-CN"/>
        </w:rPr>
      </w:pPr>
      <w:r>
        <w:rPr>
          <w:rFonts w:hint="default" w:ascii="Times New Roman" w:hAnsi="Times New Roman" w:cs="Times New Roman"/>
          <w:sz w:val="21"/>
          <w:szCs w:val="21"/>
          <w:highlight w:val="none"/>
        </w:rPr>
        <w:t>GB/T 3048.</w:t>
      </w:r>
      <w:r>
        <w:rPr>
          <w:rFonts w:hint="default" w:ascii="Times New Roman" w:hAnsi="Times New Roman" w:cs="Times New Roman"/>
          <w:sz w:val="21"/>
          <w:szCs w:val="21"/>
          <w:highlight w:val="none"/>
          <w:lang w:val="en-US" w:eastAsia="zh-CN"/>
        </w:rPr>
        <w:t>5</w:t>
      </w:r>
      <w:r>
        <w:rPr>
          <w:rFonts w:hint="default" w:ascii="Times New Roman" w:hAnsi="Times New Roman" w:eastAsia="宋体" w:cs="Times New Roman"/>
          <w:b w:val="0"/>
          <w:bCs w:val="0"/>
          <w:kern w:val="0"/>
          <w:sz w:val="21"/>
          <w:szCs w:val="21"/>
          <w:lang w:val="en-US" w:eastAsia="zh-CN"/>
        </w:rPr>
        <w:t xml:space="preserve">  电线电缆电性能试验方法 第5部分：绝缘电阻试验</w:t>
      </w:r>
    </w:p>
    <w:p w14:paraId="4A3F477A">
      <w:pPr>
        <w:spacing w:line="360" w:lineRule="auto"/>
        <w:ind w:firstLine="420" w:firstLineChars="200"/>
        <w:rPr>
          <w:rFonts w:hint="default" w:ascii="Times New Roman" w:hAnsi="Times New Roman" w:cs="Times New Roman" w:eastAsiaTheme="minorEastAsia"/>
          <w:bCs w:val="0"/>
          <w:color w:val="auto"/>
          <w:sz w:val="21"/>
          <w:szCs w:val="21"/>
          <w:shd w:val="clear" w:color="auto" w:fill="FFFFFF"/>
          <w:lang w:val="en-US" w:eastAsia="zh-CN"/>
        </w:rPr>
      </w:pPr>
      <w:r>
        <w:rPr>
          <w:rFonts w:hint="default" w:ascii="Times New Roman" w:hAnsi="Times New Roman" w:cs="Times New Roman"/>
          <w:sz w:val="21"/>
          <w:szCs w:val="21"/>
          <w:highlight w:val="none"/>
          <w:lang w:val="en-US" w:eastAsia="zh-CN"/>
        </w:rPr>
        <w:t>GB/T 3048.8</w:t>
      </w:r>
      <w:r>
        <w:rPr>
          <w:rFonts w:hint="default" w:ascii="Times New Roman" w:hAnsi="Times New Roman" w:eastAsia="宋体" w:cs="Times New Roman"/>
          <w:b w:val="0"/>
          <w:bCs w:val="0"/>
          <w:kern w:val="0"/>
          <w:sz w:val="21"/>
          <w:szCs w:val="21"/>
          <w:lang w:val="en-US" w:eastAsia="zh-CN"/>
        </w:rPr>
        <w:t xml:space="preserve">  电线电缆电性能试验方法 第8部分：交流电压试验</w:t>
      </w:r>
    </w:p>
    <w:p w14:paraId="6637FF59">
      <w:pPr>
        <w:spacing w:line="360" w:lineRule="auto"/>
        <w:ind w:firstLine="420" w:firstLineChars="200"/>
        <w:rPr>
          <w:rFonts w:hint="default" w:ascii="Times New Roman" w:hAnsi="Times New Roman" w:cs="Times New Roman" w:eastAsiaTheme="minorEastAsia"/>
          <w:bCs w:val="0"/>
          <w:color w:val="auto"/>
          <w:sz w:val="21"/>
          <w:szCs w:val="21"/>
          <w:shd w:val="clear" w:color="auto" w:fill="FFFFFF"/>
          <w:lang w:val="en-US" w:eastAsia="zh-CN"/>
        </w:rPr>
      </w:pPr>
      <w:r>
        <w:rPr>
          <w:rFonts w:hint="default" w:ascii="Times New Roman" w:hAnsi="Times New Roman" w:cs="Times New Roman"/>
          <w:sz w:val="21"/>
          <w:szCs w:val="21"/>
          <w:highlight w:val="none"/>
          <w:lang w:val="en-US" w:eastAsia="zh-CN"/>
        </w:rPr>
        <w:t>GB/T 3048.12</w:t>
      </w:r>
      <w:r>
        <w:rPr>
          <w:rFonts w:hint="eastAsia" w:ascii="Times New Roman" w:hAnsi="Times New Roman" w:eastAsia="宋体" w:cs="Times New Roman"/>
          <w:b w:val="0"/>
          <w:bCs w:val="0"/>
          <w:kern w:val="0"/>
          <w:sz w:val="21"/>
          <w:szCs w:val="21"/>
          <w:lang w:val="en-US" w:eastAsia="zh-CN"/>
        </w:rPr>
        <w:t xml:space="preserve">  电线电缆电性能试验方法 第12部分：局部放电试验</w:t>
      </w:r>
    </w:p>
    <w:p w14:paraId="21248DEF">
      <w:pPr>
        <w:spacing w:line="360" w:lineRule="auto"/>
        <w:ind w:firstLine="420" w:firstLineChars="200"/>
        <w:rPr>
          <w:rFonts w:hint="default" w:ascii="Times New Roman" w:hAnsi="Times New Roman" w:eastAsia="宋体" w:cs="Times New Roman"/>
          <w:b w:val="0"/>
          <w:bCs w:val="0"/>
          <w:kern w:val="0"/>
          <w:sz w:val="21"/>
          <w:szCs w:val="21"/>
          <w:lang w:val="en-US" w:eastAsia="zh-CN"/>
        </w:rPr>
      </w:pPr>
      <w:r>
        <w:rPr>
          <w:rFonts w:hint="default" w:ascii="Times New Roman" w:hAnsi="Times New Roman" w:cs="Times New Roman"/>
          <w:szCs w:val="21"/>
          <w:lang w:val="en-US" w:eastAsia="zh-CN"/>
        </w:rPr>
        <w:t>GB/T 3956</w:t>
      </w:r>
      <w:r>
        <w:rPr>
          <w:rFonts w:hint="default" w:ascii="Times New Roman" w:hAnsi="Times New Roman" w:eastAsia="宋体" w:cs="Times New Roman"/>
          <w:b w:val="0"/>
          <w:bCs w:val="0"/>
          <w:kern w:val="0"/>
          <w:sz w:val="21"/>
          <w:szCs w:val="21"/>
          <w:lang w:val="en-US" w:eastAsia="zh-CN"/>
        </w:rPr>
        <w:t xml:space="preserve">  电缆的导体</w:t>
      </w:r>
    </w:p>
    <w:p w14:paraId="0A138802">
      <w:pPr>
        <w:spacing w:line="360" w:lineRule="auto"/>
        <w:ind w:firstLine="420" w:firstLineChars="200"/>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cs="Times New Roman" w:eastAsiaTheme="majorEastAsia"/>
          <w:sz w:val="21"/>
          <w:szCs w:val="21"/>
        </w:rPr>
        <w:t>GB</w:t>
      </w:r>
      <w:r>
        <w:rPr>
          <w:rFonts w:hint="default" w:ascii="Times New Roman" w:hAnsi="Times New Roman" w:eastAsia="宋体" w:cs="Times New Roman"/>
          <w:sz w:val="21"/>
          <w:szCs w:val="21"/>
        </w:rPr>
        <w:t>/</w:t>
      </w:r>
      <w:r>
        <w:rPr>
          <w:rFonts w:hint="default" w:ascii="Times New Roman" w:hAnsi="Times New Roman" w:cs="Times New Roman" w:eastAsiaTheme="majorEastAsia"/>
          <w:sz w:val="21"/>
          <w:szCs w:val="21"/>
        </w:rPr>
        <w:t>T 4909.2</w:t>
      </w:r>
      <w:r>
        <w:rPr>
          <w:rFonts w:hint="eastAsia" w:ascii="Times New Roman" w:hAnsi="Times New Roman" w:eastAsia="宋体" w:cs="Times New Roman"/>
          <w:b w:val="0"/>
          <w:bCs w:val="0"/>
          <w:kern w:val="0"/>
          <w:sz w:val="21"/>
          <w:szCs w:val="21"/>
          <w:lang w:val="en-US" w:eastAsia="zh-CN"/>
        </w:rPr>
        <w:t xml:space="preserve">  裸电线试验方法 第2部分：尺寸测量</w:t>
      </w:r>
    </w:p>
    <w:p w14:paraId="3E4002A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GB 43069  矿用电缆安全技术要求</w:t>
      </w:r>
    </w:p>
    <w:p w14:paraId="12E5BBAF">
      <w:pPr>
        <w:spacing w:line="360" w:lineRule="auto"/>
        <w:ind w:firstLine="420" w:firstLineChars="200"/>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cs="Times New Roman"/>
          <w:szCs w:val="21"/>
          <w:highlight w:val="none"/>
          <w:lang w:val="en-US" w:eastAsia="zh-CN"/>
        </w:rPr>
        <w:t>GB 50150</w:t>
      </w:r>
      <w:r>
        <w:rPr>
          <w:rFonts w:hint="eastAsia" w:ascii="Times New Roman" w:hAnsi="Times New Roman" w:eastAsia="宋体" w:cs="Times New Roman"/>
          <w:b w:val="0"/>
          <w:bCs w:val="0"/>
          <w:kern w:val="0"/>
          <w:sz w:val="21"/>
          <w:szCs w:val="21"/>
          <w:lang w:val="en-US" w:eastAsia="zh-CN"/>
        </w:rPr>
        <w:t xml:space="preserve">  电气装置安装工程 电气设备交接试验标准</w:t>
      </w:r>
    </w:p>
    <w:p w14:paraId="01C4B1AC">
      <w:pPr>
        <w:spacing w:line="360" w:lineRule="auto"/>
        <w:ind w:firstLine="420" w:firstLineChars="200"/>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 818.1</w:t>
      </w:r>
      <w:r>
        <w:rPr>
          <w:rFonts w:hint="default" w:ascii="Times New Roman" w:hAnsi="Times New Roman" w:eastAsia="宋体" w:cs="Times New Roman"/>
          <w:b w:val="0"/>
          <w:bCs w:val="0"/>
          <w:kern w:val="0"/>
          <w:sz w:val="21"/>
          <w:szCs w:val="21"/>
          <w:lang w:val="en-US" w:eastAsia="zh-CN"/>
        </w:rPr>
        <w:t xml:space="preserve">  煤矿用电缆 第1部分：移动类软电缆一般规定</w:t>
      </w:r>
    </w:p>
    <w:p w14:paraId="0AA6EC3F">
      <w:pPr>
        <w:spacing w:line="360" w:lineRule="auto"/>
        <w:ind w:firstLine="420" w:firstLineChars="200"/>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cs="Times New Roman"/>
          <w:szCs w:val="21"/>
          <w:lang w:val="en-US" w:eastAsia="zh-CN"/>
        </w:rPr>
        <w:t>MT</w:t>
      </w:r>
      <w:r>
        <w:rPr>
          <w:rFonts w:hint="default" w:ascii="Times New Roman" w:hAnsi="Times New Roman" w:eastAsia="宋体" w:cs="Times New Roman"/>
          <w:b w:val="0"/>
          <w:bCs w:val="0"/>
          <w:kern w:val="0"/>
          <w:sz w:val="21"/>
          <w:szCs w:val="21"/>
          <w:highlight w:val="none"/>
          <w:lang w:val="en-US" w:eastAsia="zh-CN"/>
        </w:rPr>
        <w:t>/T</w:t>
      </w:r>
      <w:r>
        <w:rPr>
          <w:rFonts w:hint="default" w:ascii="Times New Roman" w:hAnsi="Times New Roman" w:cs="Times New Roman"/>
          <w:szCs w:val="21"/>
          <w:lang w:val="en-US" w:eastAsia="zh-CN"/>
        </w:rPr>
        <w:t xml:space="preserve"> 818.6</w:t>
      </w:r>
      <w:r>
        <w:rPr>
          <w:rFonts w:hint="default" w:ascii="Times New Roman Regular" w:hAnsi="Times New Roman Regular" w:eastAsia="宋体" w:cs="Times New Roman Regular"/>
          <w:b w:val="0"/>
          <w:bCs w:val="0"/>
          <w:kern w:val="0"/>
          <w:sz w:val="21"/>
          <w:szCs w:val="21"/>
          <w:lang w:val="en-US" w:eastAsia="zh-CN"/>
        </w:rPr>
        <w:t xml:space="preserve">  煤矿用电缆 第</w:t>
      </w:r>
      <w:r>
        <w:rPr>
          <w:rFonts w:hint="eastAsia" w:ascii="Times New Roman Regular" w:hAnsi="Times New Roman Regular" w:eastAsia="宋体" w:cs="Times New Roman Regular"/>
          <w:b w:val="0"/>
          <w:bCs w:val="0"/>
          <w:kern w:val="0"/>
          <w:sz w:val="21"/>
          <w:szCs w:val="21"/>
          <w:lang w:val="en-US" w:eastAsia="zh-CN"/>
        </w:rPr>
        <w:t>6</w:t>
      </w:r>
      <w:r>
        <w:rPr>
          <w:rFonts w:hint="default" w:ascii="Times New Roman Regular" w:hAnsi="Times New Roman Regular" w:eastAsia="宋体" w:cs="Times New Roman Regular"/>
          <w:b w:val="0"/>
          <w:bCs w:val="0"/>
          <w:kern w:val="0"/>
          <w:sz w:val="21"/>
          <w:szCs w:val="21"/>
          <w:lang w:val="en-US" w:eastAsia="zh-CN"/>
        </w:rPr>
        <w:t>部分：</w:t>
      </w:r>
      <w:r>
        <w:rPr>
          <w:rFonts w:hint="eastAsia" w:ascii="Times New Roman Regular" w:hAnsi="Times New Roman Regular" w:eastAsia="宋体" w:cs="Times New Roman Regular"/>
          <w:b w:val="0"/>
          <w:bCs w:val="0"/>
          <w:kern w:val="0"/>
          <w:sz w:val="21"/>
          <w:szCs w:val="21"/>
          <w:lang w:val="en-US" w:eastAsia="zh-CN"/>
        </w:rPr>
        <w:t>额定电压8.7/10</w:t>
      </w:r>
      <w:r>
        <w:rPr>
          <w:rFonts w:hint="default" w:ascii="Times New Roman" w:hAnsi="Times New Roman" w:eastAsia="宋体" w:cs="Times New Roman"/>
          <w:b w:val="0"/>
          <w:bCs w:val="0"/>
          <w:kern w:val="0"/>
          <w:sz w:val="10"/>
          <w:szCs w:val="10"/>
          <w:lang w:val="en-US" w:eastAsia="zh-CN"/>
        </w:rPr>
        <w:t xml:space="preserve"> </w:t>
      </w:r>
      <w:r>
        <w:rPr>
          <w:rFonts w:hint="eastAsia" w:ascii="Times New Roman Regular" w:hAnsi="Times New Roman Regular" w:eastAsia="宋体" w:cs="Times New Roman Regular"/>
          <w:b w:val="0"/>
          <w:bCs w:val="0"/>
          <w:kern w:val="0"/>
          <w:sz w:val="21"/>
          <w:szCs w:val="21"/>
          <w:lang w:val="en-US" w:eastAsia="zh-CN"/>
        </w:rPr>
        <w:t>kV及以下移动金属屏蔽监视型软电缆</w:t>
      </w:r>
    </w:p>
    <w:p w14:paraId="743C7D5B">
      <w:pPr>
        <w:spacing w:line="360" w:lineRule="auto"/>
        <w:ind w:firstLine="420" w:firstLineChars="200"/>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kern w:val="0"/>
          <w:szCs w:val="21"/>
          <w:highlight w:val="none"/>
        </w:rPr>
        <w:t>JB/T 8137</w:t>
      </w:r>
      <w:r>
        <w:rPr>
          <w:rFonts w:hint="eastAsia" w:ascii="Times New Roman" w:hAnsi="Times New Roman" w:eastAsia="宋体" w:cs="Times New Roman"/>
          <w:kern w:val="0"/>
          <w:szCs w:val="21"/>
          <w:highlight w:val="none"/>
          <w:lang w:eastAsia="zh-CN"/>
        </w:rPr>
        <w:t>（</w:t>
      </w:r>
      <w:r>
        <w:rPr>
          <w:rFonts w:hint="eastAsia" w:ascii="Times New Roman" w:hAnsi="Times New Roman" w:eastAsia="宋体" w:cs="Times New Roman"/>
          <w:kern w:val="0"/>
          <w:szCs w:val="21"/>
          <w:highlight w:val="none"/>
          <w:lang w:val="en-US" w:eastAsia="zh-CN"/>
        </w:rPr>
        <w:t>所有部分</w:t>
      </w:r>
      <w:r>
        <w:rPr>
          <w:rFonts w:hint="eastAsia" w:ascii="Times New Roman" w:hAnsi="Times New Roman" w:eastAsia="宋体" w:cs="Times New Roman"/>
          <w:kern w:val="0"/>
          <w:szCs w:val="21"/>
          <w:highlight w:val="none"/>
          <w:lang w:eastAsia="zh-CN"/>
        </w:rPr>
        <w:t>）</w:t>
      </w:r>
      <w:r>
        <w:rPr>
          <w:rFonts w:hint="default" w:ascii="Times New Roman" w:hAnsi="Times New Roman" w:eastAsia="宋体" w:cs="Times New Roman"/>
          <w:b w:val="0"/>
          <w:bCs w:val="0"/>
          <w:kern w:val="0"/>
          <w:sz w:val="21"/>
          <w:szCs w:val="21"/>
          <w:lang w:val="en-US" w:eastAsia="zh-CN"/>
        </w:rPr>
        <w:t xml:space="preserve">  电线电缆交货盘</w:t>
      </w:r>
    </w:p>
    <w:p w14:paraId="38872DD7">
      <w:pPr>
        <w:widowControl/>
        <w:numPr>
          <w:ilvl w:val="-1"/>
          <w:numId w:val="0"/>
        </w:numPr>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Times New Roman Regular" w:hAnsi="Times New Roman Regular" w:eastAsia="宋体" w:cs="Times New Roman Regular"/>
          <w:b w:val="0"/>
          <w:bCs w:val="0"/>
          <w:kern w:val="0"/>
          <w:sz w:val="21"/>
          <w:szCs w:val="21"/>
          <w:highlight w:val="none"/>
          <w:lang w:val="en-US" w:eastAsia="zh-CN"/>
        </w:rPr>
        <w:t xml:space="preserve">  矿用产品安全标志标识</w:t>
      </w:r>
    </w:p>
    <w:p w14:paraId="0ED1AC2C">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11509"/>
      <w:bookmarkStart w:id="163" w:name="_Toc21510"/>
      <w:bookmarkStart w:id="164" w:name="_Toc19178"/>
      <w:bookmarkStart w:id="165" w:name="_Toc133117643"/>
      <w:bookmarkStart w:id="166" w:name="_Toc490469307"/>
      <w:bookmarkStart w:id="167" w:name="_Toc404"/>
      <w:bookmarkStart w:id="168" w:name="_Toc4210"/>
      <w:bookmarkStart w:id="169" w:name="_Toc19273"/>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777749374"/>
      <w:bookmarkStart w:id="171" w:name="_Toc1275405563"/>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提出了煤矿用移动金属屏蔽监视型橡套软电缆采购需求制定的一般规定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3275"/>
      <w:bookmarkStart w:id="173" w:name="_Toc15238"/>
      <w:bookmarkStart w:id="174" w:name="_Toc22338"/>
      <w:bookmarkStart w:id="175" w:name="_Toc20142"/>
      <w:bookmarkStart w:id="176" w:name="_Toc1707016634"/>
      <w:bookmarkStart w:id="177" w:name="_Toc22597"/>
      <w:bookmarkStart w:id="178" w:name="_Toc10399"/>
      <w:bookmarkStart w:id="179" w:name="_Toc693748107"/>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煤矿用移动金属屏蔽监视型橡套软电缆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1135714786"/>
      <w:bookmarkStart w:id="181" w:name="_Toc17576"/>
      <w:bookmarkStart w:id="182" w:name="_Toc32224"/>
      <w:bookmarkStart w:id="183" w:name="_Toc1594527365"/>
      <w:bookmarkStart w:id="184" w:name="_Toc15538"/>
      <w:bookmarkStart w:id="185" w:name="_Toc14889"/>
      <w:bookmarkStart w:id="186" w:name="_Toc23278"/>
      <w:bookmarkStart w:id="187" w:name="_Toc12972"/>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28244"/>
      <w:bookmarkStart w:id="189" w:name="_Toc28483"/>
      <w:bookmarkStart w:id="190" w:name="_Toc2387"/>
      <w:bookmarkStart w:id="191" w:name="_Toc21998"/>
      <w:bookmarkStart w:id="192" w:name="_Toc159"/>
      <w:bookmarkStart w:id="193" w:name="_Toc1123753766"/>
      <w:bookmarkStart w:id="194" w:name="_Toc6175"/>
      <w:bookmarkStart w:id="195" w:name="_Toc772992642"/>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附录由资料性附录组成，补充正文。</w:t>
      </w:r>
    </w:p>
    <w:p w14:paraId="4C23899E">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558753391"/>
      <w:bookmarkStart w:id="197" w:name="_Toc1958353444"/>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17639"/>
      <w:bookmarkStart w:id="204" w:name="_Toc23786"/>
      <w:bookmarkStart w:id="205" w:name="_Toc4353"/>
      <w:bookmarkStart w:id="206" w:name="_Toc31550"/>
      <w:bookmarkStart w:id="207" w:name="_Toc5932"/>
      <w:bookmarkStart w:id="208" w:name="_Toc25375"/>
      <w:bookmarkStart w:id="209" w:name="_Toc2107"/>
      <w:bookmarkStart w:id="210" w:name="_Toc385498374"/>
      <w:bookmarkStart w:id="211" w:name="_Toc220"/>
      <w:bookmarkStart w:id="212" w:name="_Toc21551"/>
      <w:bookmarkStart w:id="213" w:name="_Toc31065"/>
      <w:bookmarkStart w:id="214" w:name="_Toc1376651796"/>
      <w:bookmarkStart w:id="215" w:name="_Toc14213"/>
      <w:bookmarkStart w:id="216" w:name="_Toc30636"/>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14748"/>
      <w:bookmarkStart w:id="218" w:name="_Toc24824"/>
      <w:bookmarkStart w:id="219" w:name="_Toc16446"/>
      <w:bookmarkStart w:id="220" w:name="_Toc8894"/>
      <w:bookmarkStart w:id="221" w:name="_Toc15080"/>
      <w:bookmarkStart w:id="222" w:name="_Toc26432"/>
      <w:bookmarkStart w:id="223" w:name="_Toc9147"/>
      <w:bookmarkStart w:id="224" w:name="_Toc30374"/>
      <w:bookmarkStart w:id="225" w:name="_Toc20007"/>
      <w:bookmarkStart w:id="226" w:name="_Toc4678"/>
      <w:bookmarkStart w:id="227" w:name="_Toc23317"/>
      <w:bookmarkStart w:id="228" w:name="_Toc113008819"/>
      <w:bookmarkStart w:id="229" w:name="_Toc397922594"/>
      <w:bookmarkStart w:id="230" w:name="_Toc24438"/>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4728"/>
      <w:bookmarkStart w:id="232" w:name="_Toc21166"/>
      <w:bookmarkStart w:id="233" w:name="_Toc14320"/>
      <w:bookmarkStart w:id="234" w:name="_Toc21425"/>
      <w:bookmarkStart w:id="235" w:name="_Toc636"/>
      <w:bookmarkStart w:id="236" w:name="_Toc15132"/>
      <w:bookmarkStart w:id="237" w:name="_Toc32756"/>
      <w:bookmarkStart w:id="238" w:name="_Toc963676985"/>
      <w:bookmarkStart w:id="239" w:name="_Toc21972"/>
      <w:bookmarkStart w:id="240" w:name="_Toc30979"/>
      <w:bookmarkStart w:id="241" w:name="_Toc26590"/>
      <w:bookmarkStart w:id="242" w:name="_Toc29139"/>
      <w:bookmarkStart w:id="243" w:name="_Toc620960600"/>
      <w:bookmarkStart w:id="244" w:name="_Toc394"/>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8F6ADCA">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本标准按 GB/T 1.1—2020《标准化工作导则第1部分：标准化文件的结构和起草规则》给出的规则编制。</w:t>
      </w:r>
    </w:p>
    <w:p w14:paraId="05067CE2">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本标准具体条款涉及的国家标准或直接引用，或参照原则，无原则分歧。</w:t>
      </w:r>
    </w:p>
    <w:p w14:paraId="07BD8134">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w:t>
      </w:r>
      <w:r>
        <w:rPr>
          <w:rFonts w:hint="eastAsia" w:ascii="Times New Roman Regular" w:hAnsi="Times New Roman Regular" w:eastAsia="宋体" w:cs="Times New Roman Regular"/>
          <w:b w:val="0"/>
          <w:bCs w:val="0"/>
          <w:sz w:val="21"/>
          <w:szCs w:val="21"/>
          <w:lang w:val="en-US" w:eastAsia="zh-CN"/>
        </w:rPr>
        <w:t>与</w:t>
      </w:r>
      <w:r>
        <w:rPr>
          <w:rFonts w:hint="default" w:ascii="Times New Roman Regular" w:hAnsi="Times New Roman Regular" w:eastAsia="宋体" w:cs="Times New Roman Regular"/>
          <w:b w:val="0"/>
          <w:bCs w:val="0"/>
          <w:sz w:val="21"/>
          <w:szCs w:val="21"/>
          <w:lang w:val="en-US" w:eastAsia="zh-CN"/>
        </w:rPr>
        <w:t>国家标准、行业标准及</w:t>
      </w:r>
      <w:r>
        <w:rPr>
          <w:rFonts w:hint="eastAsia" w:ascii="Times New Roman Regular" w:hAnsi="Times New Roman Regular" w:eastAsia="宋体" w:cs="Times New Roman Regular"/>
          <w:b w:val="0"/>
          <w:bCs w:val="0"/>
          <w:sz w:val="21"/>
          <w:szCs w:val="21"/>
          <w:lang w:val="en-US" w:eastAsia="zh-CN"/>
        </w:rPr>
        <w:t>现行法律法规</w:t>
      </w:r>
      <w:r>
        <w:rPr>
          <w:rFonts w:hint="default" w:ascii="Times New Roman Regular" w:hAnsi="Times New Roman Regular" w:eastAsia="宋体" w:cs="Times New Roman Regular"/>
          <w:b w:val="0"/>
          <w:bCs w:val="0"/>
          <w:sz w:val="21"/>
          <w:szCs w:val="21"/>
          <w:lang w:val="en-US" w:eastAsia="zh-CN"/>
        </w:rPr>
        <w:t>协调一致，没有矛盾。</w:t>
      </w:r>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2B76F"/>
    <w:multiLevelType w:val="singleLevel"/>
    <w:tmpl w:val="9B72B76F"/>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1">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2">
    <w:nsid w:val="CFFA3288"/>
    <w:multiLevelType w:val="singleLevel"/>
    <w:tmpl w:val="CFFA3288"/>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3">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5">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6">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7">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8">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9">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F2A4A2"/>
    <w:multiLevelType w:val="singleLevel"/>
    <w:tmpl w:val="FFF2A4A2"/>
    <w:lvl w:ilvl="0" w:tentative="0">
      <w:start w:val="1"/>
      <w:numFmt w:val="decimal"/>
      <w:lvlText w:val="%1."/>
      <w:lvlJc w:val="left"/>
      <w:pPr>
        <w:tabs>
          <w:tab w:val="left" w:pos="312"/>
        </w:tabs>
      </w:pPr>
    </w:lvl>
  </w:abstractNum>
  <w:abstractNum w:abstractNumId="11">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2">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3">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4">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6">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2"/>
  </w:num>
  <w:num w:numId="2">
    <w:abstractNumId w:val="11"/>
  </w:num>
  <w:num w:numId="3">
    <w:abstractNumId w:val="14"/>
  </w:num>
  <w:num w:numId="4">
    <w:abstractNumId w:val="13"/>
  </w:num>
  <w:num w:numId="5">
    <w:abstractNumId w:val="7"/>
  </w:num>
  <w:num w:numId="6">
    <w:abstractNumId w:val="5"/>
  </w:num>
  <w:num w:numId="7">
    <w:abstractNumId w:val="6"/>
  </w:num>
  <w:num w:numId="8">
    <w:abstractNumId w:val="16"/>
  </w:num>
  <w:num w:numId="9">
    <w:abstractNumId w:val="8"/>
  </w:num>
  <w:num w:numId="10">
    <w:abstractNumId w:val="10"/>
  </w:num>
  <w:num w:numId="11">
    <w:abstractNumId w:val="4"/>
  </w:num>
  <w:num w:numId="12">
    <w:abstractNumId w:val="2"/>
  </w:num>
  <w:num w:numId="13">
    <w:abstractNumId w:val="0"/>
  </w:num>
  <w:num w:numId="14">
    <w:abstractNumId w:val="3"/>
  </w:num>
  <w:num w:numId="15">
    <w:abstractNumId w:val="1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C2827"/>
    <w:rsid w:val="19F81081"/>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361357"/>
    <w:rsid w:val="1F416122"/>
    <w:rsid w:val="1F4C7776"/>
    <w:rsid w:val="1F4E796B"/>
    <w:rsid w:val="1F542020"/>
    <w:rsid w:val="1F6F065E"/>
    <w:rsid w:val="1F882DFC"/>
    <w:rsid w:val="1F8D1F54"/>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7161CB8"/>
    <w:rsid w:val="2730304F"/>
    <w:rsid w:val="279863D2"/>
    <w:rsid w:val="27C82E5D"/>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703976"/>
    <w:rsid w:val="2B732DA8"/>
    <w:rsid w:val="2B779685"/>
    <w:rsid w:val="2BA61037"/>
    <w:rsid w:val="2BD66AC4"/>
    <w:rsid w:val="2BFB29B5"/>
    <w:rsid w:val="2C072F7D"/>
    <w:rsid w:val="2C0803CD"/>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D35415"/>
    <w:rsid w:val="2FF80E15"/>
    <w:rsid w:val="2FFD7F30"/>
    <w:rsid w:val="2FFF1BA9"/>
    <w:rsid w:val="2FFFD7DA"/>
    <w:rsid w:val="30006BD5"/>
    <w:rsid w:val="30506C8F"/>
    <w:rsid w:val="30970232"/>
    <w:rsid w:val="30E03A94"/>
    <w:rsid w:val="313A3321"/>
    <w:rsid w:val="314B20D2"/>
    <w:rsid w:val="31643065"/>
    <w:rsid w:val="31E218FC"/>
    <w:rsid w:val="321B7367"/>
    <w:rsid w:val="322008DB"/>
    <w:rsid w:val="323C7DCD"/>
    <w:rsid w:val="326C67A3"/>
    <w:rsid w:val="32AD5347"/>
    <w:rsid w:val="32B827EB"/>
    <w:rsid w:val="32CE4D68"/>
    <w:rsid w:val="32D86506"/>
    <w:rsid w:val="32DA195F"/>
    <w:rsid w:val="32F10A57"/>
    <w:rsid w:val="32F2FE48"/>
    <w:rsid w:val="32FC43B4"/>
    <w:rsid w:val="33044C2E"/>
    <w:rsid w:val="33595B98"/>
    <w:rsid w:val="33684523"/>
    <w:rsid w:val="33745910"/>
    <w:rsid w:val="337B23CF"/>
    <w:rsid w:val="337BD9E0"/>
    <w:rsid w:val="339C6C14"/>
    <w:rsid w:val="33A04957"/>
    <w:rsid w:val="33D0407A"/>
    <w:rsid w:val="33EB36F8"/>
    <w:rsid w:val="33F97AFF"/>
    <w:rsid w:val="340F2C26"/>
    <w:rsid w:val="345BCED1"/>
    <w:rsid w:val="346C65E7"/>
    <w:rsid w:val="347D07F4"/>
    <w:rsid w:val="350917E2"/>
    <w:rsid w:val="35823C32"/>
    <w:rsid w:val="358B3002"/>
    <w:rsid w:val="358F3395"/>
    <w:rsid w:val="35AE50D1"/>
    <w:rsid w:val="35D67453"/>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751BBC"/>
    <w:rsid w:val="377685B1"/>
    <w:rsid w:val="379A16BD"/>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9EF4C6B"/>
    <w:rsid w:val="3A0F57EA"/>
    <w:rsid w:val="3A330458"/>
    <w:rsid w:val="3A6A0CCC"/>
    <w:rsid w:val="3A724344"/>
    <w:rsid w:val="3A83468A"/>
    <w:rsid w:val="3AAB0B9B"/>
    <w:rsid w:val="3AC3717D"/>
    <w:rsid w:val="3AD969A0"/>
    <w:rsid w:val="3AFD5CFA"/>
    <w:rsid w:val="3B273398"/>
    <w:rsid w:val="3B4915F5"/>
    <w:rsid w:val="3B570F2C"/>
    <w:rsid w:val="3B633EE6"/>
    <w:rsid w:val="3B678EC1"/>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CC6B68"/>
    <w:rsid w:val="3DD75419"/>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659F57"/>
    <w:rsid w:val="3F7A8AD6"/>
    <w:rsid w:val="3F7C3854"/>
    <w:rsid w:val="3F7E4320"/>
    <w:rsid w:val="3F7EA949"/>
    <w:rsid w:val="3F939827"/>
    <w:rsid w:val="3FBEBA51"/>
    <w:rsid w:val="3FC810AC"/>
    <w:rsid w:val="3FDEC9F5"/>
    <w:rsid w:val="3FDF4418"/>
    <w:rsid w:val="3FDFA922"/>
    <w:rsid w:val="3FEBA76A"/>
    <w:rsid w:val="3FEC482B"/>
    <w:rsid w:val="3FEF4261"/>
    <w:rsid w:val="3FF8E492"/>
    <w:rsid w:val="3FFB8801"/>
    <w:rsid w:val="3FFF0893"/>
    <w:rsid w:val="3FFF3E0E"/>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DFAC409"/>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73056"/>
    <w:rsid w:val="4FDC17DF"/>
    <w:rsid w:val="4FDDAD79"/>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E03D8"/>
    <w:rsid w:val="55FF402D"/>
    <w:rsid w:val="55FF651E"/>
    <w:rsid w:val="561019BC"/>
    <w:rsid w:val="565F5B54"/>
    <w:rsid w:val="56773230"/>
    <w:rsid w:val="567C24C2"/>
    <w:rsid w:val="567FE056"/>
    <w:rsid w:val="56853574"/>
    <w:rsid w:val="568850AA"/>
    <w:rsid w:val="569D25CB"/>
    <w:rsid w:val="56A33C92"/>
    <w:rsid w:val="56C87B9D"/>
    <w:rsid w:val="56E36785"/>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ED2925"/>
    <w:rsid w:val="59F741B6"/>
    <w:rsid w:val="5A221372"/>
    <w:rsid w:val="5A803764"/>
    <w:rsid w:val="5A81003E"/>
    <w:rsid w:val="5ABF4872"/>
    <w:rsid w:val="5AD7882D"/>
    <w:rsid w:val="5AE27845"/>
    <w:rsid w:val="5AEF139E"/>
    <w:rsid w:val="5AF744DA"/>
    <w:rsid w:val="5AF8B1E8"/>
    <w:rsid w:val="5AF947C9"/>
    <w:rsid w:val="5B33135D"/>
    <w:rsid w:val="5B5B0B94"/>
    <w:rsid w:val="5B7EE6A5"/>
    <w:rsid w:val="5B9BFEAE"/>
    <w:rsid w:val="5BA7750A"/>
    <w:rsid w:val="5BA83A36"/>
    <w:rsid w:val="5BDCAF1C"/>
    <w:rsid w:val="5BDE39BF"/>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9F0293"/>
    <w:rsid w:val="5EA52572"/>
    <w:rsid w:val="5EB78BDC"/>
    <w:rsid w:val="5EB82887"/>
    <w:rsid w:val="5EBDBD16"/>
    <w:rsid w:val="5EDF525F"/>
    <w:rsid w:val="5EFF7ED4"/>
    <w:rsid w:val="5F1C0EB4"/>
    <w:rsid w:val="5F2128FB"/>
    <w:rsid w:val="5F5521EA"/>
    <w:rsid w:val="5F587C40"/>
    <w:rsid w:val="5F5EF1B2"/>
    <w:rsid w:val="5F6FB310"/>
    <w:rsid w:val="5F77B1CE"/>
    <w:rsid w:val="5F7BB19F"/>
    <w:rsid w:val="5F7EE8AF"/>
    <w:rsid w:val="5F8022D9"/>
    <w:rsid w:val="5F8637E8"/>
    <w:rsid w:val="5F922AF6"/>
    <w:rsid w:val="5F9A327F"/>
    <w:rsid w:val="5FAF9B0C"/>
    <w:rsid w:val="5FB71EB2"/>
    <w:rsid w:val="5FBE66BA"/>
    <w:rsid w:val="5FBF5989"/>
    <w:rsid w:val="5FCDDD3D"/>
    <w:rsid w:val="5FCE9EEA"/>
    <w:rsid w:val="5FDE7C52"/>
    <w:rsid w:val="5FDFFEBC"/>
    <w:rsid w:val="5FEB31D0"/>
    <w:rsid w:val="5FF781ED"/>
    <w:rsid w:val="5FF7ED41"/>
    <w:rsid w:val="5FFD719E"/>
    <w:rsid w:val="5FFE018B"/>
    <w:rsid w:val="5FFEB3A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550324"/>
    <w:rsid w:val="636522D0"/>
    <w:rsid w:val="637F1B58"/>
    <w:rsid w:val="63C92321"/>
    <w:rsid w:val="63DF4774"/>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5BF5"/>
    <w:rsid w:val="6FFBDA12"/>
    <w:rsid w:val="6FFEBE04"/>
    <w:rsid w:val="6FFEFE37"/>
    <w:rsid w:val="6FFF1443"/>
    <w:rsid w:val="6FFF4C4B"/>
    <w:rsid w:val="6FFF54C9"/>
    <w:rsid w:val="6FFF59E6"/>
    <w:rsid w:val="6FFF68E3"/>
    <w:rsid w:val="6FFF69CA"/>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EC078C"/>
    <w:rsid w:val="72301186"/>
    <w:rsid w:val="723D4B43"/>
    <w:rsid w:val="725A6447"/>
    <w:rsid w:val="727644F9"/>
    <w:rsid w:val="72F01BB6"/>
    <w:rsid w:val="72FB055A"/>
    <w:rsid w:val="730D5D09"/>
    <w:rsid w:val="731C29AB"/>
    <w:rsid w:val="73216213"/>
    <w:rsid w:val="73656E0A"/>
    <w:rsid w:val="737C4F39"/>
    <w:rsid w:val="738A0C66"/>
    <w:rsid w:val="73BB6668"/>
    <w:rsid w:val="73E63D73"/>
    <w:rsid w:val="73E6C0D1"/>
    <w:rsid w:val="73F5BE08"/>
    <w:rsid w:val="73FBA95D"/>
    <w:rsid w:val="73FDFFD6"/>
    <w:rsid w:val="73FF354D"/>
    <w:rsid w:val="73FF401A"/>
    <w:rsid w:val="74033B6B"/>
    <w:rsid w:val="74393A30"/>
    <w:rsid w:val="744245F4"/>
    <w:rsid w:val="74562D73"/>
    <w:rsid w:val="7457323E"/>
    <w:rsid w:val="74A54C22"/>
    <w:rsid w:val="74CE0232"/>
    <w:rsid w:val="74DB7AC1"/>
    <w:rsid w:val="74F6722B"/>
    <w:rsid w:val="74FE3782"/>
    <w:rsid w:val="75134281"/>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82C90"/>
    <w:rsid w:val="76BB076B"/>
    <w:rsid w:val="76C5391B"/>
    <w:rsid w:val="76DD4B47"/>
    <w:rsid w:val="76DDFB2C"/>
    <w:rsid w:val="76F8FEAE"/>
    <w:rsid w:val="77073972"/>
    <w:rsid w:val="7718792D"/>
    <w:rsid w:val="77403E53"/>
    <w:rsid w:val="77570FA8"/>
    <w:rsid w:val="776F54C8"/>
    <w:rsid w:val="777E6A24"/>
    <w:rsid w:val="779108EB"/>
    <w:rsid w:val="7795F43F"/>
    <w:rsid w:val="77A0211E"/>
    <w:rsid w:val="77A34190"/>
    <w:rsid w:val="77BB52AE"/>
    <w:rsid w:val="77BE12D8"/>
    <w:rsid w:val="77D3CC90"/>
    <w:rsid w:val="77D7E741"/>
    <w:rsid w:val="77DB7435"/>
    <w:rsid w:val="77DE11DF"/>
    <w:rsid w:val="77DF1A28"/>
    <w:rsid w:val="77E3682C"/>
    <w:rsid w:val="77E61B9A"/>
    <w:rsid w:val="77E7888E"/>
    <w:rsid w:val="77EF3802"/>
    <w:rsid w:val="77F2AF42"/>
    <w:rsid w:val="77FEA335"/>
    <w:rsid w:val="77FF0F63"/>
    <w:rsid w:val="78322C70"/>
    <w:rsid w:val="783F3AC6"/>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E36D6"/>
    <w:rsid w:val="7A6A04A0"/>
    <w:rsid w:val="7A6B18FD"/>
    <w:rsid w:val="7A7391D8"/>
    <w:rsid w:val="7ABD2CC5"/>
    <w:rsid w:val="7ADBD6C2"/>
    <w:rsid w:val="7AE22B3E"/>
    <w:rsid w:val="7AE7DC2E"/>
    <w:rsid w:val="7AEB2575"/>
    <w:rsid w:val="7AF3BC8D"/>
    <w:rsid w:val="7AF3F90D"/>
    <w:rsid w:val="7AF9BA7D"/>
    <w:rsid w:val="7B0C6CB3"/>
    <w:rsid w:val="7B1729DD"/>
    <w:rsid w:val="7B3E4126"/>
    <w:rsid w:val="7B5D6256"/>
    <w:rsid w:val="7B7498CE"/>
    <w:rsid w:val="7B944CB6"/>
    <w:rsid w:val="7B9719FA"/>
    <w:rsid w:val="7B9B449A"/>
    <w:rsid w:val="7BA07EF1"/>
    <w:rsid w:val="7BAA5FB1"/>
    <w:rsid w:val="7BAF3632"/>
    <w:rsid w:val="7BB6EB5A"/>
    <w:rsid w:val="7BBB110D"/>
    <w:rsid w:val="7BBD8543"/>
    <w:rsid w:val="7BBF6CC2"/>
    <w:rsid w:val="7BBF901C"/>
    <w:rsid w:val="7BBF98C3"/>
    <w:rsid w:val="7BCE7867"/>
    <w:rsid w:val="7BCF4EF3"/>
    <w:rsid w:val="7BD5E65E"/>
    <w:rsid w:val="7BDEB05C"/>
    <w:rsid w:val="7BE92A89"/>
    <w:rsid w:val="7BF54C44"/>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F61C6"/>
    <w:rsid w:val="7DD55C71"/>
    <w:rsid w:val="7DD991DD"/>
    <w:rsid w:val="7DDF1417"/>
    <w:rsid w:val="7DDFF93A"/>
    <w:rsid w:val="7DE5BBF3"/>
    <w:rsid w:val="7DEDD24F"/>
    <w:rsid w:val="7DEF0220"/>
    <w:rsid w:val="7DEF36B3"/>
    <w:rsid w:val="7DEF8696"/>
    <w:rsid w:val="7DF65156"/>
    <w:rsid w:val="7DF8AC6A"/>
    <w:rsid w:val="7DFB0AE9"/>
    <w:rsid w:val="7DFBB84D"/>
    <w:rsid w:val="7DFD6C42"/>
    <w:rsid w:val="7DFEB546"/>
    <w:rsid w:val="7DFF4214"/>
    <w:rsid w:val="7DFF4FBD"/>
    <w:rsid w:val="7DFF9575"/>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EBB9D1"/>
    <w:rsid w:val="7EED7BA4"/>
    <w:rsid w:val="7EEEFE83"/>
    <w:rsid w:val="7EEF2D23"/>
    <w:rsid w:val="7EF2A807"/>
    <w:rsid w:val="7EF5E173"/>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D340D"/>
    <w:rsid w:val="7F6F9CEC"/>
    <w:rsid w:val="7F7459D7"/>
    <w:rsid w:val="7F770DF9"/>
    <w:rsid w:val="7F777AEF"/>
    <w:rsid w:val="7F79D970"/>
    <w:rsid w:val="7F7B4779"/>
    <w:rsid w:val="7F7BACDF"/>
    <w:rsid w:val="7F7D7468"/>
    <w:rsid w:val="7F7D9FA9"/>
    <w:rsid w:val="7F8C3055"/>
    <w:rsid w:val="7F8D0AD4"/>
    <w:rsid w:val="7F8F03DC"/>
    <w:rsid w:val="7F934ABA"/>
    <w:rsid w:val="7F9B3D14"/>
    <w:rsid w:val="7F9C88F3"/>
    <w:rsid w:val="7FA676E6"/>
    <w:rsid w:val="7FB15A44"/>
    <w:rsid w:val="7FB9729D"/>
    <w:rsid w:val="7FBB7F85"/>
    <w:rsid w:val="7FBD1EB6"/>
    <w:rsid w:val="7FBD3EA7"/>
    <w:rsid w:val="7FBD5266"/>
    <w:rsid w:val="7FBD64BF"/>
    <w:rsid w:val="7FBF053F"/>
    <w:rsid w:val="7FC85B26"/>
    <w:rsid w:val="7FD86C38"/>
    <w:rsid w:val="7FDBE955"/>
    <w:rsid w:val="7FDF26FE"/>
    <w:rsid w:val="7FDF949B"/>
    <w:rsid w:val="7FE5E8DE"/>
    <w:rsid w:val="7FE79DB1"/>
    <w:rsid w:val="7FEE4542"/>
    <w:rsid w:val="7FEEBCB5"/>
    <w:rsid w:val="7FEF5013"/>
    <w:rsid w:val="7FEF899F"/>
    <w:rsid w:val="7FEFEF86"/>
    <w:rsid w:val="7FFA5DE4"/>
    <w:rsid w:val="7FFAE971"/>
    <w:rsid w:val="7FFB6187"/>
    <w:rsid w:val="7FFB7B18"/>
    <w:rsid w:val="7FFB84E2"/>
    <w:rsid w:val="7FFC7A39"/>
    <w:rsid w:val="7FFD5E59"/>
    <w:rsid w:val="7FFE05A0"/>
    <w:rsid w:val="7FFE92F4"/>
    <w:rsid w:val="7FFF1371"/>
    <w:rsid w:val="7FFF65CF"/>
    <w:rsid w:val="7FFF709D"/>
    <w:rsid w:val="7FFF9CD5"/>
    <w:rsid w:val="7FFF9D1F"/>
    <w:rsid w:val="7FFFCEAE"/>
    <w:rsid w:val="86D3552F"/>
    <w:rsid w:val="877AB374"/>
    <w:rsid w:val="8BDD93D1"/>
    <w:rsid w:val="8DB65A59"/>
    <w:rsid w:val="8F6CFB7C"/>
    <w:rsid w:val="925C0A6D"/>
    <w:rsid w:val="93FC336E"/>
    <w:rsid w:val="97BED3A7"/>
    <w:rsid w:val="97FA81FF"/>
    <w:rsid w:val="9AFD9E19"/>
    <w:rsid w:val="9BBFC5CB"/>
    <w:rsid w:val="9BFFE5BC"/>
    <w:rsid w:val="9CFF813C"/>
    <w:rsid w:val="9E5F2DB8"/>
    <w:rsid w:val="9E7B56BD"/>
    <w:rsid w:val="9E7ED74B"/>
    <w:rsid w:val="9F1EE70B"/>
    <w:rsid w:val="9F55EB28"/>
    <w:rsid w:val="9F5CB341"/>
    <w:rsid w:val="9F672A5A"/>
    <w:rsid w:val="9F6B1BB7"/>
    <w:rsid w:val="9F7B2CDA"/>
    <w:rsid w:val="9FAF9A56"/>
    <w:rsid w:val="9FFBB02A"/>
    <w:rsid w:val="9FFE01CE"/>
    <w:rsid w:val="9FFFC48F"/>
    <w:rsid w:val="A2E7259A"/>
    <w:rsid w:val="A3DDB586"/>
    <w:rsid w:val="A3E5B80E"/>
    <w:rsid w:val="A67ACDE1"/>
    <w:rsid w:val="A73F7B3C"/>
    <w:rsid w:val="AAC7FC76"/>
    <w:rsid w:val="ACC36656"/>
    <w:rsid w:val="ACDD640D"/>
    <w:rsid w:val="ACEDBC04"/>
    <w:rsid w:val="AD7F69FA"/>
    <w:rsid w:val="AD97216D"/>
    <w:rsid w:val="ADFFE497"/>
    <w:rsid w:val="AEEFD679"/>
    <w:rsid w:val="AEF7B971"/>
    <w:rsid w:val="AF514A05"/>
    <w:rsid w:val="AF7F92FB"/>
    <w:rsid w:val="AF99A324"/>
    <w:rsid w:val="AFBFFF5A"/>
    <w:rsid w:val="AFFE8F57"/>
    <w:rsid w:val="B15F26F1"/>
    <w:rsid w:val="B1CAF052"/>
    <w:rsid w:val="B3E9C594"/>
    <w:rsid w:val="B47EFD21"/>
    <w:rsid w:val="B5773F58"/>
    <w:rsid w:val="B5E46B39"/>
    <w:rsid w:val="B5FF12BB"/>
    <w:rsid w:val="B6F57939"/>
    <w:rsid w:val="B77D6496"/>
    <w:rsid w:val="B77D7E67"/>
    <w:rsid w:val="B77F07AB"/>
    <w:rsid w:val="B77F6E59"/>
    <w:rsid w:val="B7BD3601"/>
    <w:rsid w:val="B7CB91A4"/>
    <w:rsid w:val="B7D36FA8"/>
    <w:rsid w:val="B7E1105A"/>
    <w:rsid w:val="B7FD1AE0"/>
    <w:rsid w:val="B8B326E9"/>
    <w:rsid w:val="B8F93382"/>
    <w:rsid w:val="B9C7C6B5"/>
    <w:rsid w:val="B9FF3CE4"/>
    <w:rsid w:val="BA77530D"/>
    <w:rsid w:val="BAB511EF"/>
    <w:rsid w:val="BAB726DA"/>
    <w:rsid w:val="BAFBC9DC"/>
    <w:rsid w:val="BB2DBD3C"/>
    <w:rsid w:val="BB4F899D"/>
    <w:rsid w:val="BB7DCDF1"/>
    <w:rsid w:val="BB8F9026"/>
    <w:rsid w:val="BBB71FC0"/>
    <w:rsid w:val="BBB87D5D"/>
    <w:rsid w:val="BBE701E2"/>
    <w:rsid w:val="BBEB4B1E"/>
    <w:rsid w:val="BBEF213A"/>
    <w:rsid w:val="BBFF51C6"/>
    <w:rsid w:val="BC676F5A"/>
    <w:rsid w:val="BCDB7B19"/>
    <w:rsid w:val="BCE793E5"/>
    <w:rsid w:val="BDE480B0"/>
    <w:rsid w:val="BDEEFF8A"/>
    <w:rsid w:val="BDEFACE4"/>
    <w:rsid w:val="BDF396CA"/>
    <w:rsid w:val="BDFDDD4F"/>
    <w:rsid w:val="BDFF5717"/>
    <w:rsid w:val="BE54F2DD"/>
    <w:rsid w:val="BE6D51DD"/>
    <w:rsid w:val="BE7FB404"/>
    <w:rsid w:val="BEBC8FAD"/>
    <w:rsid w:val="BEBF06C5"/>
    <w:rsid w:val="BEDFFD83"/>
    <w:rsid w:val="BEF51308"/>
    <w:rsid w:val="BEFAC2DB"/>
    <w:rsid w:val="BF2F4A5F"/>
    <w:rsid w:val="BF33C23A"/>
    <w:rsid w:val="BF4B7BB1"/>
    <w:rsid w:val="BF5A3EDB"/>
    <w:rsid w:val="BF6DC246"/>
    <w:rsid w:val="BF7D0D95"/>
    <w:rsid w:val="BFA5D3F9"/>
    <w:rsid w:val="BFAB87A6"/>
    <w:rsid w:val="BFABCC6F"/>
    <w:rsid w:val="BFBD5197"/>
    <w:rsid w:val="BFBD8F5F"/>
    <w:rsid w:val="BFD7124A"/>
    <w:rsid w:val="BFDD1D7B"/>
    <w:rsid w:val="BFDD38DF"/>
    <w:rsid w:val="BFDD8FFF"/>
    <w:rsid w:val="BFDF0AC3"/>
    <w:rsid w:val="BFED8347"/>
    <w:rsid w:val="BFEDAE6E"/>
    <w:rsid w:val="BFF3C889"/>
    <w:rsid w:val="BFF3FCA0"/>
    <w:rsid w:val="BFF5FD1E"/>
    <w:rsid w:val="BFF9B4EA"/>
    <w:rsid w:val="BFFA1615"/>
    <w:rsid w:val="BFFB6114"/>
    <w:rsid w:val="BFFF7B21"/>
    <w:rsid w:val="BFFFCB6E"/>
    <w:rsid w:val="C65F01AC"/>
    <w:rsid w:val="C6B718E6"/>
    <w:rsid w:val="C776AAD2"/>
    <w:rsid w:val="C79FFF40"/>
    <w:rsid w:val="C7E7464A"/>
    <w:rsid w:val="C7ED85AB"/>
    <w:rsid w:val="C7F2FEBA"/>
    <w:rsid w:val="CBBDBDBD"/>
    <w:rsid w:val="CBF7C2A3"/>
    <w:rsid w:val="CCFFEC40"/>
    <w:rsid w:val="CD3BB7E7"/>
    <w:rsid w:val="CD762457"/>
    <w:rsid w:val="CE7FEC49"/>
    <w:rsid w:val="CEEF03CE"/>
    <w:rsid w:val="CEFB9BD9"/>
    <w:rsid w:val="CF32C9D1"/>
    <w:rsid w:val="CFBBC6D1"/>
    <w:rsid w:val="CFFBFD11"/>
    <w:rsid w:val="CFFF1168"/>
    <w:rsid w:val="CFFFC9DD"/>
    <w:rsid w:val="D1D7956E"/>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7F8C3"/>
    <w:rsid w:val="D7FDC320"/>
    <w:rsid w:val="D7FF200B"/>
    <w:rsid w:val="D8C7C1ED"/>
    <w:rsid w:val="D8DFDAC0"/>
    <w:rsid w:val="D9F5FBB2"/>
    <w:rsid w:val="DA5E621D"/>
    <w:rsid w:val="DAF7322E"/>
    <w:rsid w:val="DAFF7C4C"/>
    <w:rsid w:val="DB73B31B"/>
    <w:rsid w:val="DB7F606A"/>
    <w:rsid w:val="DBB722C7"/>
    <w:rsid w:val="DBFF05A2"/>
    <w:rsid w:val="DCDFE90F"/>
    <w:rsid w:val="DCE4604E"/>
    <w:rsid w:val="DCF65432"/>
    <w:rsid w:val="DCFE3A9F"/>
    <w:rsid w:val="DD5DC3AE"/>
    <w:rsid w:val="DDBFEA55"/>
    <w:rsid w:val="DDDFA60C"/>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E56D6B"/>
    <w:rsid w:val="E9E70639"/>
    <w:rsid w:val="E9FB353B"/>
    <w:rsid w:val="EA3BE6E0"/>
    <w:rsid w:val="EB786ED3"/>
    <w:rsid w:val="EBFAFC81"/>
    <w:rsid w:val="EC96D586"/>
    <w:rsid w:val="ECAE1E4D"/>
    <w:rsid w:val="EDBF327D"/>
    <w:rsid w:val="EDDD5AE6"/>
    <w:rsid w:val="EDF131FD"/>
    <w:rsid w:val="EDFAFFD7"/>
    <w:rsid w:val="EDFFE984"/>
    <w:rsid w:val="EE37B022"/>
    <w:rsid w:val="EED60C33"/>
    <w:rsid w:val="EEEBE97E"/>
    <w:rsid w:val="EEEF3DDA"/>
    <w:rsid w:val="EEF33A61"/>
    <w:rsid w:val="EEFF22B2"/>
    <w:rsid w:val="EEFF4D37"/>
    <w:rsid w:val="EF2F4E69"/>
    <w:rsid w:val="EF6648A2"/>
    <w:rsid w:val="EF733005"/>
    <w:rsid w:val="EF7354B7"/>
    <w:rsid w:val="EF778569"/>
    <w:rsid w:val="EFA6EEDC"/>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DF3DDE"/>
    <w:rsid w:val="FAEF99B7"/>
    <w:rsid w:val="FAFBB4F3"/>
    <w:rsid w:val="FAFFCD10"/>
    <w:rsid w:val="FB329568"/>
    <w:rsid w:val="FB4F04D7"/>
    <w:rsid w:val="FB5F2FD3"/>
    <w:rsid w:val="FB7EA662"/>
    <w:rsid w:val="FBC7A5D7"/>
    <w:rsid w:val="FBDBCAFD"/>
    <w:rsid w:val="FBDC0979"/>
    <w:rsid w:val="FBDFE3CA"/>
    <w:rsid w:val="FBE61BDE"/>
    <w:rsid w:val="FBEF24F3"/>
    <w:rsid w:val="FBEFAD41"/>
    <w:rsid w:val="FBEFCA1A"/>
    <w:rsid w:val="FBFB093C"/>
    <w:rsid w:val="FBFC3F5F"/>
    <w:rsid w:val="FBFC7132"/>
    <w:rsid w:val="FBFD1B14"/>
    <w:rsid w:val="FBFEAD49"/>
    <w:rsid w:val="FBFF61AD"/>
    <w:rsid w:val="FBFF79E0"/>
    <w:rsid w:val="FBFFCA98"/>
    <w:rsid w:val="FC78E52F"/>
    <w:rsid w:val="FC7D0084"/>
    <w:rsid w:val="FC7FDB19"/>
    <w:rsid w:val="FCBF5396"/>
    <w:rsid w:val="FCF51796"/>
    <w:rsid w:val="FCFE126D"/>
    <w:rsid w:val="FCFF1B4F"/>
    <w:rsid w:val="FCFF5F45"/>
    <w:rsid w:val="FD3BB76E"/>
    <w:rsid w:val="FD5E22C2"/>
    <w:rsid w:val="FD7A8411"/>
    <w:rsid w:val="FD7B5811"/>
    <w:rsid w:val="FD7DDCE4"/>
    <w:rsid w:val="FD7F4B6B"/>
    <w:rsid w:val="FDB5471A"/>
    <w:rsid w:val="FDB91431"/>
    <w:rsid w:val="FDBFA174"/>
    <w:rsid w:val="FDCDF1B9"/>
    <w:rsid w:val="FDDADD15"/>
    <w:rsid w:val="FDE9D5B3"/>
    <w:rsid w:val="FDEF3A59"/>
    <w:rsid w:val="FDF7B0FC"/>
    <w:rsid w:val="FDFB027B"/>
    <w:rsid w:val="FDFF1AE6"/>
    <w:rsid w:val="FE748EF9"/>
    <w:rsid w:val="FEAEDBE9"/>
    <w:rsid w:val="FEAF0348"/>
    <w:rsid w:val="FEBC6153"/>
    <w:rsid w:val="FEBFB8FC"/>
    <w:rsid w:val="FEDF1856"/>
    <w:rsid w:val="FEEE6685"/>
    <w:rsid w:val="FEF98B70"/>
    <w:rsid w:val="FEFB1DF0"/>
    <w:rsid w:val="FEFFF7E5"/>
    <w:rsid w:val="FF0F9471"/>
    <w:rsid w:val="FF1A7D9C"/>
    <w:rsid w:val="FF1C81A6"/>
    <w:rsid w:val="FF1D16A2"/>
    <w:rsid w:val="FF2F338D"/>
    <w:rsid w:val="FF3F4108"/>
    <w:rsid w:val="FF468A7F"/>
    <w:rsid w:val="FF56871E"/>
    <w:rsid w:val="FF5B24BC"/>
    <w:rsid w:val="FF6EA354"/>
    <w:rsid w:val="FF7B4457"/>
    <w:rsid w:val="FF7ECB67"/>
    <w:rsid w:val="FF7F2580"/>
    <w:rsid w:val="FF7F916E"/>
    <w:rsid w:val="FF8B4111"/>
    <w:rsid w:val="FF8E7D34"/>
    <w:rsid w:val="FF9F15D6"/>
    <w:rsid w:val="FFAE2900"/>
    <w:rsid w:val="FFAF2548"/>
    <w:rsid w:val="FFAF9C36"/>
    <w:rsid w:val="FFBC18AC"/>
    <w:rsid w:val="FFBD55B0"/>
    <w:rsid w:val="FFBDC667"/>
    <w:rsid w:val="FFBF172D"/>
    <w:rsid w:val="FFBF29A0"/>
    <w:rsid w:val="FFBF446E"/>
    <w:rsid w:val="FFBFC7A6"/>
    <w:rsid w:val="FFBFE2BD"/>
    <w:rsid w:val="FFD64B31"/>
    <w:rsid w:val="FFD6BEE2"/>
    <w:rsid w:val="FFD7E728"/>
    <w:rsid w:val="FFE60E60"/>
    <w:rsid w:val="FFE9E36A"/>
    <w:rsid w:val="FFEF8467"/>
    <w:rsid w:val="FFEFFF6F"/>
    <w:rsid w:val="FFF21124"/>
    <w:rsid w:val="FFF4F753"/>
    <w:rsid w:val="FFF68DAB"/>
    <w:rsid w:val="FFF7D3F9"/>
    <w:rsid w:val="FFF7F3EE"/>
    <w:rsid w:val="FFFA02E0"/>
    <w:rsid w:val="FFFA170B"/>
    <w:rsid w:val="FFFB4D5B"/>
    <w:rsid w:val="FFFBE420"/>
    <w:rsid w:val="FFFC8F4A"/>
    <w:rsid w:val="FFFD17A6"/>
    <w:rsid w:val="FFFE180C"/>
    <w:rsid w:val="FFFE3594"/>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4471</Words>
  <Characters>4707</Characters>
  <Lines>1</Lines>
  <Paragraphs>1</Paragraphs>
  <TotalTime>0</TotalTime>
  <ScaleCrop>false</ScaleCrop>
  <LinksUpToDate>false</LinksUpToDate>
  <CharactersWithSpaces>4803</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2024-08-01T05:15:00Z</dcterms:created>
  <dc:creator>柏三创@物资云·贵宾客服</dc:creator>
  <cp:lastModifiedBy>蔡菜</cp:lastModifiedBy>
  <dcterms:modified xsi:type="dcterms:W3CDTF">2025-08-19T14:38:04Z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EABA5988358DA6D951F99A68F9F9CE50_43</vt:lpwstr>
  </property>
  <property fmtid="{D5CDD505-2E9C-101B-9397-08002B2CF9AE}" pid="4" name="KSOTemplateDocerSaveRecord">
    <vt:lpwstr>eyJoZGlkIjoiMDAyMzk0Mjc5MWJmOWM2MjBiMzRjY2ZhNmE0NDA1YTAiLCJ1c2VySWQiOiIzNDU5ODMyMjcifQ==</vt:lpwstr>
  </property>
</Properties>
</file>