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7458"/>
      <w:r>
        <w:rPr>
          <w:rFonts w:hint="eastAsia"/>
        </w:rPr>
        <w:t>第一章 招标公告</w:t>
      </w:r>
      <w:bookmarkEnd w:id="0"/>
    </w:p>
    <w:p>
      <w:pPr>
        <w:pStyle w:val="6"/>
        <w:adjustRightInd w:val="0"/>
        <w:snapToGrid w:val="0"/>
        <w:spacing w:line="760" w:lineRule="exact"/>
        <w:ind w:firstLine="0" w:firstLineChars="0"/>
        <w:jc w:val="center"/>
        <w:rPr>
          <w:rFonts w:hint="eastAsia"/>
          <w:b/>
          <w:sz w:val="32"/>
          <w:szCs w:val="32"/>
        </w:rPr>
      </w:pPr>
      <w:r>
        <w:rPr>
          <w:rFonts w:hint="eastAsia"/>
          <w:b/>
          <w:sz w:val="32"/>
          <w:szCs w:val="32"/>
        </w:rPr>
        <w:t>中铁建工集团有限公司广州分公司</w:t>
      </w:r>
    </w:p>
    <w:p>
      <w:pPr>
        <w:tabs>
          <w:tab w:val="center" w:pos="4535"/>
          <w:tab w:val="left" w:pos="8960"/>
          <w:tab w:val="right" w:pos="9070"/>
        </w:tabs>
        <w:spacing w:line="360" w:lineRule="auto"/>
        <w:jc w:val="center"/>
        <w:rPr>
          <w:rFonts w:ascii="仿宋_GB2312" w:hAnsi="宋体" w:eastAsia="仿宋_GB2312"/>
          <w:b/>
          <w:sz w:val="32"/>
          <w:szCs w:val="32"/>
        </w:rPr>
      </w:pPr>
      <w:r>
        <w:rPr>
          <w:rFonts w:hint="eastAsia" w:ascii="仿宋_GB2312" w:hAnsi="宋体" w:eastAsia="仿宋_GB2312"/>
          <w:b/>
          <w:sz w:val="32"/>
          <w:szCs w:val="32"/>
          <w:lang w:val="en-US" w:eastAsia="zh-CN"/>
        </w:rPr>
        <w:t>电力电缆</w:t>
      </w:r>
      <w:r>
        <w:rPr>
          <w:rFonts w:hint="eastAsia" w:ascii="仿宋_GB2312" w:hAnsi="宋体" w:eastAsia="仿宋_GB2312"/>
          <w:b/>
          <w:sz w:val="32"/>
          <w:szCs w:val="32"/>
        </w:rPr>
        <w:t>采购招标公告</w:t>
      </w:r>
    </w:p>
    <w:p>
      <w:pPr>
        <w:tabs>
          <w:tab w:val="left" w:pos="2160"/>
        </w:tabs>
        <w:spacing w:line="360" w:lineRule="auto"/>
        <w:jc w:val="center"/>
        <w:rPr>
          <w:rFonts w:hint="default" w:ascii="宋体" w:eastAsia="宋体"/>
          <w:b/>
          <w:sz w:val="24"/>
          <w:lang w:val="en-US" w:eastAsia="zh-CN"/>
        </w:rPr>
      </w:pPr>
      <w:r>
        <w:rPr>
          <w:rFonts w:hint="eastAsia" w:ascii="宋体" w:hAnsi="宋体"/>
          <w:b/>
          <w:sz w:val="24"/>
        </w:rPr>
        <w:t>招标编号：WZ-DS-20</w:t>
      </w:r>
      <w:r>
        <w:rPr>
          <w:rFonts w:hint="eastAsia" w:ascii="宋体" w:hAnsi="宋体"/>
          <w:b/>
          <w:sz w:val="24"/>
          <w:lang w:val="en-US" w:eastAsia="zh-CN"/>
        </w:rPr>
        <w:t>20</w:t>
      </w:r>
      <w:r>
        <w:rPr>
          <w:rFonts w:hint="eastAsia" w:ascii="宋体" w:hAnsi="宋体"/>
          <w:b/>
          <w:sz w:val="24"/>
        </w:rPr>
        <w:t>-</w:t>
      </w:r>
      <w:r>
        <w:rPr>
          <w:rFonts w:hint="eastAsia" w:ascii="宋体" w:hAnsi="宋体"/>
          <w:b/>
          <w:sz w:val="24"/>
          <w:lang w:val="en-US" w:eastAsia="zh-CN"/>
        </w:rPr>
        <w:t>182</w:t>
      </w:r>
    </w:p>
    <w:p>
      <w:pPr>
        <w:pStyle w:val="3"/>
      </w:pPr>
      <w:bookmarkStart w:id="1" w:name="_Toc294431660"/>
      <w:bookmarkStart w:id="2" w:name="_Toc397416919"/>
      <w:bookmarkStart w:id="3" w:name="_Toc13520"/>
      <w:r>
        <w:t xml:space="preserve">1. </w:t>
      </w:r>
      <w:r>
        <w:rPr>
          <w:rFonts w:hint="eastAsia"/>
        </w:rPr>
        <w:t>招标条件</w:t>
      </w:r>
      <w:bookmarkEnd w:id="1"/>
      <w:bookmarkEnd w:id="2"/>
      <w:bookmarkEnd w:id="3"/>
    </w:p>
    <w:p>
      <w:pPr>
        <w:widowControl/>
        <w:spacing w:line="360" w:lineRule="auto"/>
        <w:ind w:firstLine="420" w:firstLineChars="200"/>
        <w:jc w:val="left"/>
        <w:rPr>
          <w:rFonts w:hint="eastAsia" w:ascii="宋体" w:hAnsi="宋体" w:cs="宋体"/>
          <w:kern w:val="20"/>
          <w:szCs w:val="21"/>
        </w:rPr>
      </w:pPr>
      <w:r>
        <w:rPr>
          <w:rFonts w:hint="eastAsia" w:ascii="宋体" w:hAnsi="宋体" w:cs="宋体"/>
          <w:kern w:val="20"/>
          <w:szCs w:val="21"/>
        </w:rPr>
        <w:t>本次招标项目的招标人为中铁建工集团有限公司广州分公司。由本公司承建的株洲站改扩建工程建设资金已落实，工程建设物资</w:t>
      </w:r>
      <w:r>
        <w:rPr>
          <w:rFonts w:hint="eastAsia" w:ascii="宋体" w:hAnsi="宋体" w:cs="宋体"/>
          <w:kern w:val="20"/>
          <w:szCs w:val="21"/>
          <w:lang w:val="en-US" w:eastAsia="zh-CN"/>
        </w:rPr>
        <w:t>电力电缆</w:t>
      </w:r>
      <w:r>
        <w:rPr>
          <w:rFonts w:hint="eastAsia" w:ascii="宋体" w:hAnsi="宋体" w:cs="宋体"/>
          <w:bCs/>
          <w:kern w:val="20"/>
          <w:szCs w:val="21"/>
        </w:rPr>
        <w:t>已具备招标条件，现进行</w:t>
      </w:r>
      <w:r>
        <w:rPr>
          <w:rFonts w:hint="eastAsia" w:ascii="宋体" w:hAnsi="宋体" w:cs="宋体"/>
          <w:kern w:val="20"/>
          <w:szCs w:val="21"/>
        </w:rPr>
        <w:t>公开招标。</w:t>
      </w:r>
    </w:p>
    <w:p>
      <w:pPr>
        <w:pStyle w:val="3"/>
      </w:pPr>
      <w:bookmarkStart w:id="4" w:name="_Toc3186"/>
      <w:bookmarkStart w:id="5" w:name="_Toc397416920"/>
      <w:bookmarkStart w:id="6" w:name="_Toc294431661"/>
      <w:r>
        <w:t xml:space="preserve">2. </w:t>
      </w:r>
      <w:r>
        <w:rPr>
          <w:rFonts w:hint="eastAsia"/>
        </w:rPr>
        <w:t>项目概况与招标内容</w:t>
      </w:r>
      <w:bookmarkEnd w:id="4"/>
      <w:bookmarkEnd w:id="5"/>
      <w:bookmarkEnd w:id="6"/>
    </w:p>
    <w:p>
      <w:pPr>
        <w:widowControl/>
        <w:spacing w:line="360" w:lineRule="auto"/>
        <w:ind w:firstLine="420" w:firstLineChars="200"/>
        <w:jc w:val="left"/>
        <w:rPr>
          <w:rFonts w:hint="eastAsia" w:ascii="宋体" w:hAnsi="宋体" w:cs="宋体"/>
          <w:kern w:val="20"/>
          <w:szCs w:val="21"/>
        </w:rPr>
      </w:pPr>
      <w:r>
        <w:rPr>
          <w:rFonts w:hint="eastAsia" w:ascii="宋体" w:hAnsi="宋体" w:cs="宋体"/>
          <w:kern w:val="20"/>
          <w:szCs w:val="21"/>
        </w:rPr>
        <w:t>2.1株洲站改扩建工程项目：</w:t>
      </w:r>
    </w:p>
    <w:p>
      <w:pPr>
        <w:widowControl/>
        <w:spacing w:line="360" w:lineRule="auto"/>
        <w:ind w:firstLine="420" w:firstLineChars="200"/>
        <w:jc w:val="left"/>
        <w:rPr>
          <w:rFonts w:hint="eastAsia" w:ascii="宋体" w:hAnsi="宋体" w:cs="宋体"/>
          <w:kern w:val="20"/>
          <w:szCs w:val="21"/>
        </w:rPr>
      </w:pPr>
      <w:r>
        <w:rPr>
          <w:rFonts w:hint="eastAsia" w:ascii="宋体" w:hAnsi="宋体" w:cs="宋体"/>
          <w:kern w:val="20"/>
          <w:szCs w:val="21"/>
        </w:rPr>
        <w:t>工程概况：本项目位于湖南省株洲市株洲火车站。</w:t>
      </w:r>
    </w:p>
    <w:p>
      <w:pPr>
        <w:widowControl/>
        <w:spacing w:line="360" w:lineRule="auto"/>
        <w:ind w:firstLine="420" w:firstLineChars="200"/>
        <w:jc w:val="left"/>
        <w:rPr>
          <w:rFonts w:hint="eastAsia" w:ascii="宋体" w:hAnsi="宋体" w:cs="宋体"/>
          <w:kern w:val="20"/>
          <w:szCs w:val="21"/>
        </w:rPr>
      </w:pPr>
      <w:r>
        <w:rPr>
          <w:rFonts w:hint="eastAsia" w:ascii="宋体" w:hAnsi="宋体" w:cs="宋体"/>
          <w:kern w:val="20"/>
          <w:szCs w:val="21"/>
        </w:rPr>
        <w:t>拟建株洲火车站位于株洲市区东部，湘江东岸。工程位于湘江漫滩地貌与丘陵过渡地段。车站东侧为丘陵岗地，地形地貌相对较复杂，场地地势较平坦，略有起伏，地面高程约41m～43m，地形普遍经人工改造迹象明显，车站两侧为广场及空地，广场周边既有建筑密布。</w:t>
      </w:r>
    </w:p>
    <w:p>
      <w:pPr>
        <w:widowControl/>
        <w:spacing w:line="360" w:lineRule="auto"/>
        <w:ind w:firstLine="420" w:firstLineChars="200"/>
        <w:jc w:val="left"/>
        <w:rPr>
          <w:rFonts w:hint="eastAsia" w:ascii="宋体" w:hAnsi="宋体" w:cs="宋体"/>
          <w:kern w:val="20"/>
          <w:szCs w:val="21"/>
        </w:rPr>
      </w:pPr>
      <w:r>
        <w:rPr>
          <w:rFonts w:hint="eastAsia" w:ascii="宋体" w:hAnsi="宋体" w:cs="宋体"/>
          <w:kern w:val="20"/>
          <w:szCs w:val="21"/>
        </w:rPr>
        <w:t>株洲站改扩建工程主要在铁路既有用地内改建，采用线侧式+线上式综合站型，站房由东、西子站房及高架候车室组成，西站房基本站台旅客通过一层“平进平出”，其他站台旅客通过东、西子站房及高架候车室进站、地道出站，即“上进下出”。主要工程为：</w:t>
      </w:r>
    </w:p>
    <w:p>
      <w:pPr>
        <w:widowControl/>
        <w:spacing w:line="360" w:lineRule="auto"/>
        <w:ind w:firstLine="420" w:firstLineChars="200"/>
        <w:jc w:val="left"/>
        <w:rPr>
          <w:rFonts w:hint="eastAsia" w:ascii="宋体" w:hAnsi="宋体" w:cs="宋体"/>
          <w:kern w:val="20"/>
          <w:szCs w:val="21"/>
        </w:rPr>
      </w:pPr>
      <w:r>
        <w:rPr>
          <w:rFonts w:hint="eastAsia" w:ascii="宋体" w:hAnsi="宋体" w:cs="宋体"/>
          <w:kern w:val="20"/>
          <w:szCs w:val="21"/>
        </w:rPr>
        <w:t>1.1站房部分：拆除既有站房16486 m</w:t>
      </w:r>
      <w:r>
        <w:rPr>
          <w:rFonts w:hint="eastAsia" w:ascii="宋体" w:hAnsi="宋体" w:cs="宋体"/>
          <w:kern w:val="20"/>
          <w:szCs w:val="21"/>
          <w:vertAlign w:val="superscript"/>
        </w:rPr>
        <w:t>2</w:t>
      </w:r>
      <w:r>
        <w:rPr>
          <w:rFonts w:hint="eastAsia" w:ascii="宋体" w:hAnsi="宋体" w:cs="宋体"/>
          <w:kern w:val="20"/>
          <w:szCs w:val="21"/>
        </w:rPr>
        <w:t>，拆除既有地下人防工程560 m</w:t>
      </w:r>
      <w:r>
        <w:rPr>
          <w:rFonts w:hint="eastAsia" w:ascii="宋体" w:hAnsi="宋体" w:cs="宋体"/>
          <w:kern w:val="20"/>
          <w:szCs w:val="21"/>
          <w:vertAlign w:val="superscript"/>
        </w:rPr>
        <w:t>2</w:t>
      </w:r>
      <w:r>
        <w:rPr>
          <w:rFonts w:hint="eastAsia" w:ascii="宋体" w:hAnsi="宋体" w:cs="宋体"/>
          <w:kern w:val="20"/>
          <w:szCs w:val="21"/>
        </w:rPr>
        <w:t>；新建站房45004.41m</w:t>
      </w:r>
      <w:r>
        <w:rPr>
          <w:rFonts w:hint="eastAsia" w:ascii="宋体" w:hAnsi="宋体" w:cs="宋体"/>
          <w:kern w:val="20"/>
          <w:szCs w:val="21"/>
          <w:vertAlign w:val="superscript"/>
        </w:rPr>
        <w:t>2</w:t>
      </w:r>
      <w:r>
        <w:rPr>
          <w:rFonts w:hint="eastAsia" w:ascii="宋体" w:hAnsi="宋体" w:cs="宋体"/>
          <w:kern w:val="20"/>
          <w:szCs w:val="21"/>
        </w:rPr>
        <w:t>，其中东站房13320.44m</w:t>
      </w:r>
      <w:r>
        <w:rPr>
          <w:rFonts w:hint="eastAsia" w:ascii="宋体" w:hAnsi="宋体" w:cs="宋体"/>
          <w:kern w:val="20"/>
          <w:szCs w:val="21"/>
          <w:vertAlign w:val="superscript"/>
        </w:rPr>
        <w:t>2</w:t>
      </w:r>
      <w:r>
        <w:rPr>
          <w:rFonts w:hint="eastAsia" w:ascii="宋体" w:hAnsi="宋体" w:cs="宋体"/>
          <w:kern w:val="20"/>
          <w:szCs w:val="21"/>
        </w:rPr>
        <w:t>、西站房11637.66m</w:t>
      </w:r>
      <w:r>
        <w:rPr>
          <w:rFonts w:hint="eastAsia" w:ascii="宋体" w:hAnsi="宋体" w:cs="宋体"/>
          <w:kern w:val="20"/>
          <w:szCs w:val="21"/>
          <w:vertAlign w:val="superscript"/>
        </w:rPr>
        <w:t>2</w:t>
      </w:r>
      <w:r>
        <w:rPr>
          <w:rFonts w:hint="eastAsia" w:ascii="宋体" w:hAnsi="宋体" w:cs="宋体"/>
          <w:kern w:val="20"/>
          <w:szCs w:val="21"/>
        </w:rPr>
        <w:t>、高架候车室20046.31m</w:t>
      </w:r>
      <w:r>
        <w:rPr>
          <w:rFonts w:hint="eastAsia" w:ascii="宋体" w:hAnsi="宋体" w:cs="宋体"/>
          <w:kern w:val="20"/>
          <w:szCs w:val="21"/>
          <w:vertAlign w:val="superscript"/>
        </w:rPr>
        <w:t>2</w:t>
      </w:r>
      <w:r>
        <w:rPr>
          <w:rFonts w:hint="eastAsia" w:ascii="宋体" w:hAnsi="宋体" w:cs="宋体"/>
          <w:kern w:val="20"/>
          <w:szCs w:val="21"/>
        </w:rPr>
        <w:t>。</w:t>
      </w:r>
    </w:p>
    <w:p>
      <w:pPr>
        <w:widowControl/>
        <w:spacing w:line="360" w:lineRule="auto"/>
        <w:ind w:firstLine="420" w:firstLineChars="200"/>
        <w:jc w:val="left"/>
        <w:rPr>
          <w:rFonts w:hint="eastAsia" w:ascii="宋体" w:hAnsi="宋体" w:cs="宋体"/>
          <w:kern w:val="20"/>
          <w:szCs w:val="21"/>
        </w:rPr>
      </w:pPr>
      <w:r>
        <w:rPr>
          <w:rFonts w:hint="eastAsia" w:ascii="宋体" w:hAnsi="宋体" w:cs="宋体"/>
          <w:kern w:val="20"/>
          <w:szCs w:val="21"/>
        </w:rPr>
        <w:t>1.2站场生产设备及建筑物：站场股道、站台设置维持既有，拆除既有站台雨棚和进站天桥，将第1～3站台高度由0.5米改为1.25米，在站台中心位置新建12米宽出站地道，保留既有出站地道；接长既有行包地道、邮政地道、出站地道在站台上的出入口；新建6座站台的站台面、站台雨棚，其中有柱雨棚建筑面积为21962 m</w:t>
      </w:r>
      <w:r>
        <w:rPr>
          <w:rFonts w:hint="eastAsia" w:ascii="宋体" w:hAnsi="宋体" w:cs="宋体"/>
          <w:kern w:val="20"/>
          <w:szCs w:val="21"/>
          <w:vertAlign w:val="superscript"/>
        </w:rPr>
        <w:t>2</w:t>
      </w:r>
      <w:r>
        <w:rPr>
          <w:rFonts w:hint="eastAsia" w:ascii="宋体" w:hAnsi="宋体" w:cs="宋体"/>
          <w:kern w:val="20"/>
          <w:szCs w:val="21"/>
        </w:rPr>
        <w:t>；新建社会通道4172 m</w:t>
      </w:r>
      <w:r>
        <w:rPr>
          <w:rFonts w:hint="eastAsia" w:ascii="宋体" w:hAnsi="宋体" w:cs="宋体"/>
          <w:kern w:val="20"/>
          <w:szCs w:val="21"/>
          <w:vertAlign w:val="superscript"/>
        </w:rPr>
        <w:t>2</w:t>
      </w:r>
      <w:r>
        <w:rPr>
          <w:rFonts w:hint="eastAsia" w:ascii="宋体" w:hAnsi="宋体" w:cs="宋体"/>
          <w:kern w:val="20"/>
          <w:szCs w:val="21"/>
        </w:rPr>
        <w:t>；改建西广场25605 m</w:t>
      </w:r>
      <w:r>
        <w:rPr>
          <w:rFonts w:hint="eastAsia" w:ascii="宋体" w:hAnsi="宋体" w:cs="宋体"/>
          <w:kern w:val="20"/>
          <w:szCs w:val="21"/>
          <w:vertAlign w:val="superscript"/>
        </w:rPr>
        <w:t>2</w:t>
      </w:r>
      <w:r>
        <w:rPr>
          <w:rFonts w:hint="eastAsia" w:ascii="宋体" w:hAnsi="宋体" w:cs="宋体"/>
          <w:kern w:val="20"/>
          <w:szCs w:val="21"/>
        </w:rPr>
        <w:t>。工程实施地点：湖南省株洲市株洲火车站。</w:t>
      </w:r>
    </w:p>
    <w:p>
      <w:pPr>
        <w:widowControl/>
        <w:spacing w:line="360" w:lineRule="auto"/>
        <w:ind w:firstLine="420" w:firstLineChars="200"/>
        <w:jc w:val="left"/>
        <w:rPr>
          <w:rFonts w:hint="eastAsia" w:ascii="宋体" w:hAnsi="宋体" w:cs="宋体"/>
          <w:kern w:val="20"/>
          <w:szCs w:val="21"/>
        </w:rPr>
      </w:pPr>
      <w:r>
        <w:rPr>
          <w:rFonts w:hint="eastAsia" w:ascii="宋体" w:hAnsi="宋体" w:cs="宋体"/>
          <w:kern w:val="20"/>
          <w:szCs w:val="21"/>
        </w:rPr>
        <w:t>计划工期：2019年7月1日至2022年12月31日。</w:t>
      </w:r>
    </w:p>
    <w:p>
      <w:pPr>
        <w:spacing w:line="400" w:lineRule="exact"/>
        <w:ind w:firstLine="420" w:firstLineChars="200"/>
        <w:rPr>
          <w:rFonts w:hint="eastAsia" w:ascii="宋体" w:hAnsi="宋体"/>
          <w:szCs w:val="21"/>
        </w:rPr>
      </w:pPr>
      <w:r>
        <w:rPr>
          <w:rFonts w:hint="eastAsia" w:ascii="宋体" w:hAnsi="宋体"/>
          <w:szCs w:val="21"/>
        </w:rPr>
        <w:t>2.2</w:t>
      </w:r>
      <w:r>
        <w:rPr>
          <w:rFonts w:ascii="宋体" w:hAnsi="宋体"/>
          <w:szCs w:val="21"/>
        </w:rPr>
        <w:t>招标</w:t>
      </w:r>
      <w:r>
        <w:rPr>
          <w:rFonts w:hint="eastAsia" w:ascii="宋体" w:hAnsi="宋体"/>
          <w:szCs w:val="21"/>
        </w:rPr>
        <w:t>内容：</w:t>
      </w:r>
    </w:p>
    <w:p>
      <w:pPr>
        <w:spacing w:line="400" w:lineRule="exact"/>
        <w:ind w:firstLine="420" w:firstLineChars="200"/>
        <w:rPr>
          <w:rFonts w:hint="eastAsia" w:ascii="宋体" w:hAnsi="宋体"/>
        </w:rPr>
      </w:pPr>
      <w:r>
        <w:rPr>
          <w:rFonts w:hint="eastAsia" w:ascii="宋体" w:hAnsi="宋体"/>
        </w:rPr>
        <w:t>本次招标范围是</w:t>
      </w:r>
      <w:r>
        <w:rPr>
          <w:rFonts w:hint="eastAsia" w:ascii="宋体" w:hAnsi="宋体"/>
          <w:b/>
          <w:bCs/>
          <w:u w:val="single"/>
        </w:rPr>
        <w:t xml:space="preserve"> 株洲站改扩建工程项目 </w:t>
      </w:r>
      <w:r>
        <w:rPr>
          <w:rFonts w:hint="eastAsia" w:ascii="宋体" w:hAnsi="宋体"/>
        </w:rPr>
        <w:t>所用</w:t>
      </w:r>
      <w:r>
        <w:rPr>
          <w:rFonts w:hint="eastAsia" w:ascii="宋体" w:hAnsi="宋体"/>
          <w:u w:val="single"/>
        </w:rPr>
        <w:t xml:space="preserve"> </w:t>
      </w:r>
      <w:r>
        <w:rPr>
          <w:rFonts w:hint="eastAsia" w:ascii="宋体" w:hAnsi="宋体"/>
          <w:b/>
          <w:bCs/>
          <w:u w:val="single"/>
          <w:lang w:val="en-US" w:eastAsia="zh-CN"/>
        </w:rPr>
        <w:t>电力电缆</w:t>
      </w:r>
      <w:r>
        <w:rPr>
          <w:rFonts w:hint="eastAsia" w:ascii="宋体" w:hAnsi="宋体"/>
          <w:b/>
          <w:bCs/>
          <w:u w:val="single"/>
        </w:rPr>
        <w:t xml:space="preserve"> </w:t>
      </w:r>
      <w:r>
        <w:rPr>
          <w:rFonts w:hint="eastAsia" w:ascii="宋体" w:hAnsi="宋体"/>
        </w:rPr>
        <w:t>。招标的物资种类、数量、以及包件划分等情况详见附表1：招标物资包件划分表。</w:t>
      </w:r>
    </w:p>
    <w:p>
      <w:pPr>
        <w:widowControl/>
        <w:spacing w:line="360" w:lineRule="auto"/>
        <w:ind w:firstLine="420" w:firstLineChars="200"/>
        <w:jc w:val="left"/>
        <w:rPr>
          <w:rFonts w:hint="eastAsia" w:ascii="宋体" w:hAnsi="宋体" w:cs="宋体"/>
          <w:kern w:val="20"/>
          <w:szCs w:val="21"/>
        </w:rPr>
      </w:pPr>
      <w:r>
        <w:rPr>
          <w:rFonts w:hint="eastAsia" w:ascii="宋体" w:hAnsi="宋体" w:cs="宋体"/>
          <w:kern w:val="20"/>
          <w:szCs w:val="21"/>
        </w:rPr>
        <w:t xml:space="preserve">  </w:t>
      </w:r>
    </w:p>
    <w:p>
      <w:pPr>
        <w:pStyle w:val="3"/>
      </w:pPr>
      <w:bookmarkStart w:id="7" w:name="_Toc397416921"/>
      <w:bookmarkStart w:id="8" w:name="_Toc20921"/>
      <w:bookmarkStart w:id="9" w:name="_Toc294431662"/>
      <w:r>
        <w:t xml:space="preserve">3. </w:t>
      </w:r>
      <w:r>
        <w:rPr>
          <w:rFonts w:hint="eastAsia"/>
        </w:rPr>
        <w:t>投标人资格要求</w:t>
      </w:r>
      <w:bookmarkEnd w:id="7"/>
      <w:bookmarkEnd w:id="8"/>
      <w:bookmarkEnd w:id="9"/>
    </w:p>
    <w:p>
      <w:pPr>
        <w:spacing w:line="360" w:lineRule="auto"/>
        <w:jc w:val="left"/>
        <w:rPr>
          <w:rFonts w:ascii="宋体" w:hAnsi="宋体"/>
          <w:b/>
          <w:szCs w:val="21"/>
        </w:rPr>
      </w:pPr>
      <w:r>
        <w:rPr>
          <w:rFonts w:ascii="宋体" w:hAnsi="宋体"/>
          <w:b/>
          <w:szCs w:val="21"/>
        </w:rPr>
        <w:t>3.1</w:t>
      </w:r>
      <w:r>
        <w:rPr>
          <w:rFonts w:hint="eastAsia" w:ascii="宋体" w:hAnsi="宋体"/>
          <w:b/>
          <w:szCs w:val="21"/>
        </w:rPr>
        <w:t>本次招标要求投标人须具备的条件：</w:t>
      </w:r>
    </w:p>
    <w:p>
      <w:pPr>
        <w:spacing w:line="360" w:lineRule="auto"/>
        <w:jc w:val="left"/>
        <w:rPr>
          <w:rFonts w:hint="eastAsia" w:ascii="宋体" w:hAnsi="宋体"/>
          <w:b/>
          <w:szCs w:val="21"/>
        </w:rPr>
      </w:pPr>
      <w:r>
        <w:rPr>
          <w:rFonts w:hint="eastAsia" w:ascii="宋体" w:hAnsi="宋体"/>
          <w:b/>
          <w:szCs w:val="21"/>
        </w:rPr>
        <w:t>详见附表1：招标物资包件划分表。</w:t>
      </w:r>
    </w:p>
    <w:p>
      <w:pPr>
        <w:spacing w:line="360" w:lineRule="auto"/>
        <w:jc w:val="left"/>
        <w:rPr>
          <w:rFonts w:hint="default" w:ascii="宋体" w:hAnsi="宋体"/>
          <w:szCs w:val="21"/>
          <w:lang w:val="en-US" w:eastAsia="zh-CN"/>
        </w:rPr>
      </w:pPr>
      <w:r>
        <w:rPr>
          <w:rFonts w:hint="eastAsia" w:ascii="宋体" w:hAnsi="宋体"/>
          <w:szCs w:val="21"/>
          <w:lang w:val="en-US" w:eastAsia="zh-CN"/>
        </w:rPr>
        <w:t>3.2 本次招标只接受招标公告附件《中国中铁2019-2021年度电线电缆准入供应商名录的通知》内的供应商参与投标。</w:t>
      </w:r>
    </w:p>
    <w:p>
      <w:pPr>
        <w:spacing w:line="360" w:lineRule="auto"/>
        <w:jc w:val="left"/>
        <w:rPr>
          <w:rFonts w:ascii="宋体"/>
          <w:szCs w:val="21"/>
        </w:rPr>
      </w:pPr>
      <w:r>
        <w:rPr>
          <w:rFonts w:ascii="宋体" w:hAnsi="宋体"/>
          <w:szCs w:val="21"/>
        </w:rPr>
        <w:t>3.</w:t>
      </w:r>
      <w:r>
        <w:rPr>
          <w:rFonts w:hint="eastAsia" w:ascii="宋体" w:hAnsi="宋体"/>
          <w:szCs w:val="21"/>
          <w:lang w:val="en-US" w:eastAsia="zh-CN"/>
        </w:rPr>
        <w:t>3</w:t>
      </w:r>
      <w:r>
        <w:rPr>
          <w:rFonts w:hint="eastAsia" w:ascii="宋体" w:hAnsi="宋体"/>
          <w:szCs w:val="21"/>
        </w:rPr>
        <w:t>本次招标不接受联合体投标。</w:t>
      </w:r>
    </w:p>
    <w:p>
      <w:pPr>
        <w:widowControl/>
        <w:shd w:val="clear" w:color="auto" w:fill="FFFFFF"/>
        <w:spacing w:line="360" w:lineRule="auto"/>
        <w:jc w:val="left"/>
        <w:rPr>
          <w:rFonts w:cs="宋体"/>
          <w:kern w:val="0"/>
          <w:szCs w:val="21"/>
        </w:rPr>
      </w:pPr>
      <w:r>
        <w:rPr>
          <w:rFonts w:ascii="宋体" w:hAnsi="宋体"/>
          <w:szCs w:val="21"/>
        </w:rPr>
        <w:t>3.</w:t>
      </w:r>
      <w:r>
        <w:rPr>
          <w:rFonts w:hint="eastAsia" w:ascii="宋体" w:hAnsi="宋体"/>
          <w:szCs w:val="21"/>
          <w:lang w:val="en-US" w:eastAsia="zh-CN"/>
        </w:rPr>
        <w:t>4</w:t>
      </w:r>
      <w:r>
        <w:rPr>
          <w:rFonts w:hint="eastAsia" w:cs="宋体"/>
          <w:kern w:val="0"/>
          <w:szCs w:val="21"/>
        </w:rPr>
        <w:t>本次招标对投标人的资格审查采取资格后审方式。</w:t>
      </w:r>
    </w:p>
    <w:p>
      <w:pPr>
        <w:pStyle w:val="3"/>
      </w:pPr>
      <w:bookmarkStart w:id="10" w:name="_Toc397416922"/>
      <w:bookmarkStart w:id="11" w:name="_Toc25811"/>
      <w:bookmarkStart w:id="12" w:name="_Toc294431663"/>
      <w:r>
        <w:t xml:space="preserve">4. </w:t>
      </w:r>
      <w:r>
        <w:rPr>
          <w:rFonts w:hint="eastAsia"/>
        </w:rPr>
        <w:t>招标文件的获取</w:t>
      </w:r>
      <w:bookmarkEnd w:id="10"/>
      <w:bookmarkEnd w:id="11"/>
      <w:bookmarkEnd w:id="12"/>
    </w:p>
    <w:p>
      <w:pPr>
        <w:spacing w:line="360" w:lineRule="auto"/>
        <w:jc w:val="left"/>
        <w:rPr>
          <w:rFonts w:ascii="宋体"/>
          <w:szCs w:val="21"/>
        </w:rPr>
      </w:pPr>
      <w:bookmarkStart w:id="13" w:name="_Toc294431664"/>
      <w:bookmarkStart w:id="14" w:name="_Toc397416923"/>
      <w:r>
        <w:rPr>
          <w:rFonts w:ascii="宋体" w:hAnsi="宋体"/>
          <w:szCs w:val="21"/>
        </w:rPr>
        <w:t>4.1</w:t>
      </w:r>
      <w:r>
        <w:rPr>
          <w:rFonts w:hint="eastAsia" w:ascii="宋体" w:hAnsi="宋体"/>
          <w:szCs w:val="21"/>
        </w:rPr>
        <w:t>本次招标文件采取电子版发售。</w:t>
      </w:r>
    </w:p>
    <w:p>
      <w:pPr>
        <w:spacing w:line="360" w:lineRule="auto"/>
        <w:jc w:val="left"/>
        <w:rPr>
          <w:rFonts w:hint="eastAsia" w:ascii="宋体" w:hAnsi="宋体"/>
          <w:szCs w:val="21"/>
        </w:rPr>
      </w:pPr>
      <w:r>
        <w:rPr>
          <w:rFonts w:ascii="宋体" w:hAnsi="宋体"/>
          <w:szCs w:val="21"/>
        </w:rPr>
        <w:t>4.2</w:t>
      </w:r>
      <w:r>
        <w:rPr>
          <w:rFonts w:hint="eastAsia" w:ascii="宋体" w:hAnsi="宋体"/>
          <w:szCs w:val="21"/>
        </w:rPr>
        <w:t>潜在投标人须登陆中国中铁采购电子商务平台（</w:t>
      </w:r>
      <w:r>
        <w:rPr>
          <w:rFonts w:ascii="宋体" w:hAnsi="宋体"/>
          <w:szCs w:val="21"/>
        </w:rPr>
        <w:t>www.crecgec.com</w:t>
      </w:r>
      <w:r>
        <w:rPr>
          <w:rFonts w:hint="eastAsia" w:ascii="宋体" w:hAnsi="宋体"/>
          <w:szCs w:val="21"/>
        </w:rPr>
        <w:t>或</w:t>
      </w:r>
      <w:r>
        <w:rPr>
          <w:rFonts w:ascii="宋体" w:hAnsi="宋体"/>
          <w:szCs w:val="21"/>
        </w:rPr>
        <w:t>www.lubanec.com</w:t>
      </w:r>
      <w:r>
        <w:rPr>
          <w:rFonts w:hint="eastAsia" w:ascii="宋体" w:hAnsi="宋体"/>
          <w:szCs w:val="21"/>
        </w:rPr>
        <w:t>）进行供应商注册，</w:t>
      </w:r>
      <w:r>
        <w:rPr>
          <w:rFonts w:hint="eastAsia" w:ascii="宋体" w:hAnsi="宋体"/>
          <w:b/>
          <w:szCs w:val="21"/>
        </w:rPr>
        <w:t>注册通过并缴费成功</w:t>
      </w:r>
      <w:r>
        <w:rPr>
          <w:rFonts w:hint="eastAsia" w:ascii="宋体" w:hAnsi="宋体"/>
          <w:szCs w:val="21"/>
        </w:rPr>
        <w:t>的供应商按中国中铁采购电子商务平台操作流程获取招标文件。初次投标的供应商请登录平台，进入“供应商园地”，下载“供应商在线投标简易操作指南”。</w:t>
      </w:r>
    </w:p>
    <w:p>
      <w:pPr>
        <w:spacing w:line="360" w:lineRule="auto"/>
        <w:jc w:val="left"/>
        <w:rPr>
          <w:rFonts w:ascii="宋体"/>
          <w:b/>
          <w:szCs w:val="21"/>
        </w:rPr>
      </w:pPr>
      <w:r>
        <w:rPr>
          <w:rFonts w:hint="eastAsia" w:ascii="宋体" w:hAnsi="宋体"/>
          <w:b/>
          <w:szCs w:val="21"/>
        </w:rPr>
        <w:t xml:space="preserve">    请投标人缴纳招标文件工本费后，登录供方交易系统，按照操作步骤参与、响应本次招标，同时保留好网上开标解锁密码，与投标文件同时递交招标人。</w:t>
      </w:r>
    </w:p>
    <w:p>
      <w:pPr>
        <w:spacing w:line="360" w:lineRule="auto"/>
        <w:jc w:val="left"/>
        <w:rPr>
          <w:rFonts w:ascii="宋体" w:hAnsi="宋体"/>
          <w:szCs w:val="21"/>
        </w:rPr>
      </w:pPr>
      <w:r>
        <w:rPr>
          <w:rFonts w:ascii="宋体" w:hAnsi="宋体"/>
          <w:szCs w:val="21"/>
        </w:rPr>
        <w:t>4.3</w:t>
      </w:r>
      <w:r>
        <w:rPr>
          <w:rFonts w:hint="eastAsia" w:ascii="宋体" w:hAnsi="宋体"/>
          <w:szCs w:val="21"/>
        </w:rPr>
        <w:t>购买招标文件的潜在投标人：请于</w:t>
      </w:r>
      <w:r>
        <w:rPr>
          <w:rFonts w:ascii="宋体" w:hAnsi="宋体"/>
          <w:szCs w:val="21"/>
          <w:highlight w:val="yellow"/>
        </w:rPr>
        <w:t>20</w:t>
      </w:r>
      <w:r>
        <w:rPr>
          <w:rFonts w:hint="eastAsia" w:ascii="宋体" w:hAnsi="宋体"/>
          <w:szCs w:val="21"/>
          <w:highlight w:val="yellow"/>
          <w:lang w:val="en-US" w:eastAsia="zh-CN"/>
        </w:rPr>
        <w:t>20</w:t>
      </w:r>
      <w:r>
        <w:rPr>
          <w:rFonts w:hint="eastAsia" w:ascii="宋体" w:hAnsi="宋体"/>
          <w:szCs w:val="21"/>
          <w:highlight w:val="yellow"/>
        </w:rPr>
        <w:t>年</w:t>
      </w:r>
      <w:r>
        <w:rPr>
          <w:rFonts w:hint="eastAsia" w:ascii="宋体" w:hAnsi="宋体"/>
          <w:szCs w:val="21"/>
          <w:highlight w:val="yellow"/>
          <w:lang w:val="en-US" w:eastAsia="zh-CN"/>
        </w:rPr>
        <w:t>11</w:t>
      </w:r>
      <w:r>
        <w:rPr>
          <w:rFonts w:hint="eastAsia" w:ascii="宋体" w:hAnsi="宋体"/>
          <w:szCs w:val="21"/>
          <w:highlight w:val="yellow"/>
        </w:rPr>
        <w:t>月</w:t>
      </w:r>
      <w:r>
        <w:rPr>
          <w:rFonts w:hint="eastAsia" w:ascii="宋体" w:hAnsi="宋体"/>
          <w:szCs w:val="21"/>
          <w:highlight w:val="yellow"/>
          <w:lang w:val="en-US" w:eastAsia="zh-CN"/>
        </w:rPr>
        <w:t>11</w:t>
      </w:r>
      <w:r>
        <w:rPr>
          <w:rFonts w:hint="eastAsia" w:ascii="宋体" w:hAnsi="宋体"/>
          <w:szCs w:val="21"/>
          <w:highlight w:val="yellow"/>
        </w:rPr>
        <w:t>日</w:t>
      </w:r>
      <w:r>
        <w:rPr>
          <w:rFonts w:ascii="宋体" w:hAnsi="宋体"/>
          <w:szCs w:val="21"/>
          <w:highlight w:val="yellow"/>
        </w:rPr>
        <w:t>0</w:t>
      </w:r>
      <w:r>
        <w:rPr>
          <w:rFonts w:hint="eastAsia" w:ascii="宋体" w:hAnsi="宋体"/>
          <w:szCs w:val="21"/>
          <w:highlight w:val="yellow"/>
        </w:rPr>
        <w:t>9点</w:t>
      </w:r>
      <w:r>
        <w:rPr>
          <w:rFonts w:hint="eastAsia" w:ascii="宋体"/>
          <w:szCs w:val="21"/>
          <w:highlight w:val="yellow"/>
        </w:rPr>
        <w:t>00</w:t>
      </w:r>
      <w:r>
        <w:rPr>
          <w:rFonts w:hint="eastAsia" w:ascii="宋体" w:hAnsi="宋体"/>
          <w:szCs w:val="21"/>
          <w:highlight w:val="yellow"/>
        </w:rPr>
        <w:t>分至</w:t>
      </w:r>
      <w:r>
        <w:rPr>
          <w:rFonts w:ascii="宋体" w:hAnsi="宋体"/>
          <w:szCs w:val="21"/>
          <w:highlight w:val="yellow"/>
        </w:rPr>
        <w:t>20</w:t>
      </w:r>
      <w:r>
        <w:rPr>
          <w:rFonts w:hint="eastAsia" w:ascii="宋体" w:hAnsi="宋体"/>
          <w:szCs w:val="21"/>
          <w:highlight w:val="yellow"/>
          <w:lang w:val="en-US" w:eastAsia="zh-CN"/>
        </w:rPr>
        <w:t>20</w:t>
      </w:r>
      <w:r>
        <w:rPr>
          <w:rFonts w:hint="eastAsia" w:ascii="宋体" w:hAnsi="宋体"/>
          <w:szCs w:val="21"/>
          <w:highlight w:val="yellow"/>
        </w:rPr>
        <w:t>年</w:t>
      </w:r>
      <w:r>
        <w:rPr>
          <w:rFonts w:hint="eastAsia" w:ascii="宋体" w:hAnsi="宋体"/>
          <w:szCs w:val="21"/>
          <w:highlight w:val="yellow"/>
          <w:lang w:val="en-US" w:eastAsia="zh-CN"/>
        </w:rPr>
        <w:t>11</w:t>
      </w:r>
      <w:r>
        <w:rPr>
          <w:rFonts w:hint="eastAsia" w:ascii="宋体" w:hAnsi="宋体"/>
          <w:szCs w:val="21"/>
          <w:highlight w:val="yellow"/>
        </w:rPr>
        <w:t>月</w:t>
      </w:r>
      <w:r>
        <w:rPr>
          <w:rFonts w:hint="eastAsia" w:ascii="宋体" w:hAnsi="宋体"/>
          <w:szCs w:val="21"/>
          <w:highlight w:val="yellow"/>
          <w:lang w:val="en-US" w:eastAsia="zh-CN"/>
        </w:rPr>
        <w:t>17</w:t>
      </w:r>
      <w:r>
        <w:rPr>
          <w:rFonts w:hint="eastAsia" w:ascii="宋体" w:hAnsi="宋体"/>
          <w:szCs w:val="21"/>
          <w:highlight w:val="yellow"/>
        </w:rPr>
        <w:t>日17点</w:t>
      </w:r>
      <w:r>
        <w:rPr>
          <w:rFonts w:hint="eastAsia" w:ascii="宋体"/>
          <w:szCs w:val="21"/>
          <w:highlight w:val="yellow"/>
        </w:rPr>
        <w:t>00</w:t>
      </w:r>
      <w:r>
        <w:rPr>
          <w:rFonts w:hint="eastAsia" w:ascii="宋体" w:hAnsi="宋体"/>
          <w:szCs w:val="21"/>
          <w:highlight w:val="yellow"/>
        </w:rPr>
        <w:t>分</w:t>
      </w:r>
      <w:r>
        <w:rPr>
          <w:rFonts w:hint="eastAsia" w:ascii="宋体" w:hAnsi="宋体"/>
          <w:szCs w:val="21"/>
        </w:rPr>
        <w:t>将投标申请表（附表</w:t>
      </w:r>
      <w:r>
        <w:rPr>
          <w:rFonts w:ascii="宋体" w:hAnsi="宋体"/>
          <w:szCs w:val="21"/>
        </w:rPr>
        <w:t>2</w:t>
      </w:r>
      <w:r>
        <w:rPr>
          <w:rFonts w:hint="eastAsia" w:ascii="宋体" w:hAnsi="宋体"/>
          <w:szCs w:val="21"/>
        </w:rPr>
        <w:t>）发送至招标人指定邮箱，并根据所需购买包件的招标文件售价足额现金转入到招标人指定账户，在汇款单上注明标书款、项目名称及所投包件号，汇款单位名称与投标人名称须完全一致。招标组织单位收到信息经核实后，潜在投标人才可以从中国中铁采购电子商务平台（</w:t>
      </w:r>
      <w:r>
        <w:rPr>
          <w:rFonts w:ascii="宋体" w:hAnsi="宋体"/>
          <w:szCs w:val="21"/>
        </w:rPr>
        <w:t>www.lubanec.com</w:t>
      </w:r>
      <w:r>
        <w:rPr>
          <w:rFonts w:hint="eastAsia" w:ascii="宋体" w:hAnsi="宋体"/>
          <w:szCs w:val="21"/>
        </w:rPr>
        <w:t>）下载电子版招标文件。</w:t>
      </w:r>
    </w:p>
    <w:p>
      <w:pPr>
        <w:spacing w:line="360" w:lineRule="auto"/>
        <w:jc w:val="left"/>
        <w:rPr>
          <w:rFonts w:ascii="宋体" w:hAnsi="宋体"/>
          <w:szCs w:val="21"/>
        </w:rPr>
      </w:pPr>
      <w:r>
        <w:rPr>
          <w:rFonts w:ascii="宋体" w:hAnsi="宋体"/>
          <w:szCs w:val="21"/>
        </w:rPr>
        <w:t>4.4</w:t>
      </w:r>
      <w:r>
        <w:rPr>
          <w:rFonts w:hint="eastAsia" w:ascii="宋体" w:hAnsi="宋体"/>
          <w:szCs w:val="21"/>
        </w:rPr>
        <w:t>招标文件包件售价：</w:t>
      </w:r>
    </w:p>
    <w:p>
      <w:pPr>
        <w:spacing w:line="360" w:lineRule="auto"/>
        <w:jc w:val="left"/>
        <w:rPr>
          <w:rFonts w:hint="eastAsia" w:ascii="宋体" w:hAnsi="宋体"/>
          <w:szCs w:val="21"/>
        </w:rPr>
      </w:pPr>
      <w:r>
        <w:rPr>
          <w:rFonts w:hint="eastAsia" w:ascii="宋体" w:hAnsi="宋体"/>
          <w:szCs w:val="21"/>
        </w:rPr>
        <w:t>详见附表1：招标物资包件划分表，售后不退。</w:t>
      </w:r>
    </w:p>
    <w:p>
      <w:pPr>
        <w:spacing w:line="360" w:lineRule="auto"/>
        <w:jc w:val="left"/>
        <w:rPr>
          <w:rFonts w:ascii="宋体" w:hAnsi="宋体"/>
          <w:szCs w:val="21"/>
        </w:rPr>
      </w:pPr>
      <w:r>
        <w:rPr>
          <w:rFonts w:ascii="宋体" w:hAnsi="宋体"/>
          <w:szCs w:val="21"/>
        </w:rPr>
        <w:t>4.5</w:t>
      </w:r>
      <w:r>
        <w:rPr>
          <w:rFonts w:hint="eastAsia" w:ascii="宋体" w:hAnsi="宋体"/>
          <w:szCs w:val="21"/>
        </w:rPr>
        <w:t>本次招标不提供邮购招标文件。</w:t>
      </w:r>
    </w:p>
    <w:p>
      <w:pPr>
        <w:pStyle w:val="3"/>
      </w:pPr>
      <w:bookmarkStart w:id="15" w:name="_Toc27751"/>
      <w:r>
        <w:t xml:space="preserve">5. </w:t>
      </w:r>
      <w:r>
        <w:rPr>
          <w:rFonts w:hint="eastAsia"/>
        </w:rPr>
        <w:t>投标文件的递交</w:t>
      </w:r>
      <w:bookmarkEnd w:id="13"/>
      <w:bookmarkEnd w:id="14"/>
      <w:bookmarkEnd w:id="15"/>
    </w:p>
    <w:p>
      <w:pPr>
        <w:spacing w:line="360" w:lineRule="auto"/>
        <w:jc w:val="left"/>
        <w:rPr>
          <w:rFonts w:ascii="宋体"/>
          <w:szCs w:val="21"/>
        </w:rPr>
      </w:pPr>
      <w:bookmarkStart w:id="16" w:name="_Toc397416924"/>
      <w:r>
        <w:rPr>
          <w:rFonts w:ascii="宋体" w:hAnsi="宋体"/>
          <w:szCs w:val="21"/>
        </w:rPr>
        <w:t>5.1 </w:t>
      </w:r>
      <w:r>
        <w:rPr>
          <w:rFonts w:hint="eastAsia" w:ascii="宋体" w:hAnsi="宋体"/>
          <w:szCs w:val="21"/>
        </w:rPr>
        <w:t>投标文件递交的时间与地点：</w:t>
      </w:r>
    </w:p>
    <w:p>
      <w:pPr>
        <w:spacing w:line="360" w:lineRule="auto"/>
        <w:ind w:firstLine="420" w:firstLineChars="200"/>
        <w:jc w:val="left"/>
        <w:rPr>
          <w:rFonts w:hint="eastAsia" w:ascii="宋体" w:hAnsi="宋体"/>
          <w:szCs w:val="21"/>
        </w:rPr>
      </w:pPr>
      <w:r>
        <w:rPr>
          <w:rFonts w:hint="eastAsia" w:ascii="宋体" w:hAnsi="宋体"/>
          <w:szCs w:val="21"/>
        </w:rPr>
        <w:t>网络版投标文件及报价：登录鲁班网供应商操作平台填写报价、上传电子版投标文件。截止时间与纸质投标文件递交截止时间相同。</w:t>
      </w:r>
    </w:p>
    <w:p>
      <w:pPr>
        <w:spacing w:line="360" w:lineRule="auto"/>
        <w:ind w:firstLine="420" w:firstLineChars="200"/>
        <w:jc w:val="left"/>
        <w:rPr>
          <w:rFonts w:hint="eastAsia" w:ascii="宋体" w:hAnsi="宋体"/>
          <w:szCs w:val="21"/>
        </w:rPr>
      </w:pPr>
      <w:r>
        <w:rPr>
          <w:rFonts w:hint="eastAsia" w:ascii="宋体" w:hAnsi="宋体"/>
          <w:szCs w:val="21"/>
        </w:rPr>
        <w:t>纸质投标文件递交时间为</w:t>
      </w:r>
      <w:r>
        <w:rPr>
          <w:rFonts w:ascii="宋体" w:hAnsi="宋体"/>
          <w:szCs w:val="21"/>
          <w:highlight w:val="yellow"/>
        </w:rPr>
        <w:t>20</w:t>
      </w:r>
      <w:r>
        <w:rPr>
          <w:rFonts w:hint="eastAsia" w:ascii="宋体" w:hAnsi="宋体"/>
          <w:szCs w:val="21"/>
          <w:highlight w:val="yellow"/>
          <w:lang w:val="en-US" w:eastAsia="zh-CN"/>
        </w:rPr>
        <w:t>20</w:t>
      </w:r>
      <w:r>
        <w:rPr>
          <w:rFonts w:hint="eastAsia" w:ascii="宋体" w:hAnsi="宋体"/>
          <w:szCs w:val="21"/>
          <w:highlight w:val="yellow"/>
        </w:rPr>
        <w:t>年</w:t>
      </w:r>
      <w:r>
        <w:rPr>
          <w:rFonts w:hint="eastAsia" w:ascii="宋体" w:hAnsi="宋体"/>
          <w:szCs w:val="21"/>
          <w:highlight w:val="yellow"/>
          <w:lang w:val="en-US" w:eastAsia="zh-CN"/>
        </w:rPr>
        <w:t>12</w:t>
      </w:r>
      <w:r>
        <w:rPr>
          <w:rFonts w:hint="eastAsia" w:ascii="宋体" w:hAnsi="宋体"/>
          <w:szCs w:val="21"/>
          <w:highlight w:val="yellow"/>
        </w:rPr>
        <w:t>月</w:t>
      </w:r>
      <w:r>
        <w:rPr>
          <w:rFonts w:hint="eastAsia" w:ascii="宋体" w:hAnsi="宋体"/>
          <w:szCs w:val="21"/>
          <w:highlight w:val="yellow"/>
          <w:lang w:val="en-US" w:eastAsia="zh-CN"/>
        </w:rPr>
        <w:t>02</w:t>
      </w:r>
      <w:r>
        <w:rPr>
          <w:rFonts w:hint="eastAsia" w:ascii="宋体" w:hAnsi="宋体"/>
          <w:szCs w:val="21"/>
          <w:highlight w:val="yellow"/>
        </w:rPr>
        <w:t>日上午</w:t>
      </w:r>
      <w:r>
        <w:rPr>
          <w:rFonts w:hint="eastAsia" w:ascii="宋体" w:hAnsi="宋体"/>
          <w:szCs w:val="21"/>
          <w:highlight w:val="yellow"/>
          <w:lang w:val="en-US" w:eastAsia="zh-CN"/>
        </w:rPr>
        <w:t>8</w:t>
      </w:r>
      <w:r>
        <w:rPr>
          <w:rFonts w:hint="eastAsia" w:ascii="宋体" w:hAnsi="宋体"/>
          <w:szCs w:val="21"/>
          <w:highlight w:val="yellow"/>
        </w:rPr>
        <w:t>点</w:t>
      </w:r>
      <w:r>
        <w:rPr>
          <w:rFonts w:hint="eastAsia" w:ascii="宋体" w:hAnsi="宋体"/>
          <w:szCs w:val="21"/>
          <w:highlight w:val="yellow"/>
          <w:lang w:val="en-US" w:eastAsia="zh-CN"/>
        </w:rPr>
        <w:t>3</w:t>
      </w:r>
      <w:r>
        <w:rPr>
          <w:rFonts w:hint="eastAsia" w:ascii="宋体" w:hAnsi="宋体"/>
          <w:szCs w:val="21"/>
          <w:highlight w:val="yellow"/>
        </w:rPr>
        <w:t>0分</w:t>
      </w:r>
      <w:r>
        <w:rPr>
          <w:rFonts w:hint="eastAsia" w:ascii="宋体" w:hAnsi="宋体"/>
          <w:szCs w:val="21"/>
          <w:highlight w:val="yellow"/>
          <w:lang w:val="en-US" w:eastAsia="zh-CN"/>
        </w:rPr>
        <w:t>至10点00分</w:t>
      </w:r>
      <w:r>
        <w:rPr>
          <w:rFonts w:hint="eastAsia" w:ascii="宋体" w:hAnsi="宋体"/>
          <w:szCs w:val="21"/>
        </w:rPr>
        <w:t>，</w:t>
      </w:r>
      <w:r>
        <w:rPr>
          <w:rFonts w:hint="eastAsia" w:ascii="宋体" w:hAnsi="宋体"/>
          <w:b/>
          <w:szCs w:val="21"/>
        </w:rPr>
        <w:t>递交投标文件的截止时间为</w:t>
      </w:r>
      <w:r>
        <w:rPr>
          <w:rFonts w:ascii="宋体" w:hAnsi="宋体"/>
          <w:b/>
          <w:szCs w:val="21"/>
          <w:highlight w:val="yellow"/>
        </w:rPr>
        <w:t>20</w:t>
      </w:r>
      <w:r>
        <w:rPr>
          <w:rFonts w:hint="eastAsia" w:ascii="宋体" w:hAnsi="宋体"/>
          <w:b/>
          <w:szCs w:val="21"/>
          <w:highlight w:val="yellow"/>
          <w:lang w:val="en-US" w:eastAsia="zh-CN"/>
        </w:rPr>
        <w:t>20年12月02日上午</w:t>
      </w:r>
      <w:r>
        <w:rPr>
          <w:rFonts w:hint="eastAsia" w:ascii="宋体" w:hAnsi="宋体"/>
          <w:b/>
          <w:szCs w:val="21"/>
          <w:highlight w:val="yellow"/>
        </w:rPr>
        <w:t>10点</w:t>
      </w:r>
      <w:r>
        <w:rPr>
          <w:rFonts w:ascii="宋体" w:hAnsi="宋体"/>
          <w:b/>
          <w:szCs w:val="21"/>
          <w:highlight w:val="yellow"/>
        </w:rPr>
        <w:t>00</w:t>
      </w:r>
      <w:r>
        <w:rPr>
          <w:rFonts w:hint="eastAsia" w:ascii="宋体" w:hAnsi="宋体"/>
          <w:b/>
          <w:szCs w:val="21"/>
          <w:highlight w:val="yellow"/>
        </w:rPr>
        <w:t>分</w:t>
      </w:r>
      <w:r>
        <w:rPr>
          <w:rFonts w:hint="eastAsia" w:ascii="宋体" w:hAnsi="宋体"/>
          <w:b/>
          <w:szCs w:val="21"/>
        </w:rPr>
        <w:t>（即为开标时间）</w:t>
      </w:r>
      <w:r>
        <w:rPr>
          <w:rFonts w:hint="eastAsia" w:ascii="宋体" w:hAnsi="宋体"/>
          <w:szCs w:val="21"/>
        </w:rPr>
        <w:t>；递交地点：中铁建工集团有限公司物资设备部（广州市番禺区番禺大道北</w:t>
      </w:r>
      <w:r>
        <w:rPr>
          <w:rFonts w:ascii="宋体" w:hAnsi="宋体"/>
          <w:szCs w:val="21"/>
        </w:rPr>
        <w:t>555</w:t>
      </w:r>
      <w:r>
        <w:rPr>
          <w:rFonts w:hint="eastAsia" w:ascii="宋体" w:hAnsi="宋体"/>
          <w:szCs w:val="21"/>
        </w:rPr>
        <w:t>号番禺节能科技园总部中心</w:t>
      </w:r>
      <w:r>
        <w:rPr>
          <w:rFonts w:ascii="宋体" w:hAnsi="宋体"/>
          <w:szCs w:val="21"/>
        </w:rPr>
        <w:t>29</w:t>
      </w:r>
      <w:r>
        <w:rPr>
          <w:rFonts w:hint="eastAsia" w:ascii="宋体" w:hAnsi="宋体"/>
          <w:szCs w:val="21"/>
        </w:rPr>
        <w:t>号楼中铁建工集团有限公司物资设备部）。</w:t>
      </w:r>
    </w:p>
    <w:p>
      <w:pPr>
        <w:spacing w:line="360" w:lineRule="auto"/>
        <w:ind w:firstLine="420" w:firstLineChars="200"/>
        <w:jc w:val="left"/>
        <w:rPr>
          <w:rFonts w:hint="eastAsia" w:ascii="宋体" w:hAnsi="宋体"/>
          <w:szCs w:val="21"/>
        </w:rPr>
      </w:pPr>
      <w:r>
        <w:rPr>
          <w:rFonts w:hint="eastAsia" w:ascii="宋体" w:hAnsi="宋体"/>
          <w:szCs w:val="21"/>
        </w:rPr>
        <w:t>除现场递交投标文件外，投标人也可将投标文件邮寄至递交地点：中铁建工集团广州有限公司分公司物资设备部（广州市番禺区番禺大道北</w:t>
      </w:r>
      <w:r>
        <w:rPr>
          <w:rFonts w:ascii="宋体" w:hAnsi="宋体"/>
          <w:szCs w:val="21"/>
        </w:rPr>
        <w:t>555</w:t>
      </w:r>
      <w:r>
        <w:rPr>
          <w:rFonts w:hint="eastAsia" w:ascii="宋体" w:hAnsi="宋体"/>
          <w:szCs w:val="21"/>
        </w:rPr>
        <w:t>号番禺节能科技园总部中心</w:t>
      </w:r>
      <w:r>
        <w:rPr>
          <w:rFonts w:ascii="宋体" w:hAnsi="宋体"/>
          <w:szCs w:val="21"/>
        </w:rPr>
        <w:t>29</w:t>
      </w:r>
      <w:r>
        <w:rPr>
          <w:rFonts w:hint="eastAsia" w:ascii="宋体" w:hAnsi="宋体"/>
          <w:szCs w:val="21"/>
        </w:rPr>
        <w:t>号楼中铁建工集团有限公司物资设备部，联系电话：</w:t>
      </w:r>
      <w:r>
        <w:rPr>
          <w:rFonts w:hint="eastAsia" w:ascii="宋体" w:hAnsi="宋体"/>
          <w:szCs w:val="21"/>
          <w:lang w:val="en-US" w:eastAsia="zh-CN"/>
        </w:rPr>
        <w:t>15170770780</w:t>
      </w:r>
      <w:r>
        <w:rPr>
          <w:rFonts w:hint="eastAsia" w:ascii="宋体" w:hAnsi="宋体"/>
          <w:szCs w:val="21"/>
        </w:rPr>
        <w:t>），</w:t>
      </w:r>
      <w:r>
        <w:rPr>
          <w:rFonts w:hint="eastAsia" w:ascii="宋体" w:hAnsi="宋体"/>
          <w:b/>
          <w:szCs w:val="21"/>
          <w:highlight w:val="yellow"/>
        </w:rPr>
        <w:t>招标人截止收取投标文件时间为20</w:t>
      </w:r>
      <w:r>
        <w:rPr>
          <w:rFonts w:hint="eastAsia" w:ascii="宋体" w:hAnsi="宋体"/>
          <w:b/>
          <w:szCs w:val="21"/>
          <w:highlight w:val="yellow"/>
          <w:lang w:val="en-US" w:eastAsia="zh-CN"/>
        </w:rPr>
        <w:t>20</w:t>
      </w:r>
      <w:r>
        <w:rPr>
          <w:rFonts w:hint="eastAsia" w:ascii="宋体" w:hAnsi="宋体"/>
          <w:b/>
          <w:szCs w:val="21"/>
          <w:highlight w:val="yellow"/>
        </w:rPr>
        <w:t>年</w:t>
      </w:r>
      <w:r>
        <w:rPr>
          <w:rFonts w:hint="eastAsia" w:ascii="宋体" w:hAnsi="宋体"/>
          <w:b/>
          <w:szCs w:val="21"/>
          <w:highlight w:val="yellow"/>
          <w:lang w:val="en-US" w:eastAsia="zh-CN"/>
        </w:rPr>
        <w:t>12</w:t>
      </w:r>
      <w:r>
        <w:rPr>
          <w:rFonts w:hint="eastAsia" w:ascii="宋体" w:hAnsi="宋体"/>
          <w:b/>
          <w:szCs w:val="21"/>
          <w:highlight w:val="yellow"/>
        </w:rPr>
        <w:t>月</w:t>
      </w:r>
      <w:r>
        <w:rPr>
          <w:rFonts w:hint="eastAsia" w:ascii="宋体" w:hAnsi="宋体"/>
          <w:b/>
          <w:szCs w:val="21"/>
          <w:highlight w:val="yellow"/>
          <w:lang w:val="en-US" w:eastAsia="zh-CN"/>
        </w:rPr>
        <w:t>02</w:t>
      </w:r>
      <w:r>
        <w:rPr>
          <w:rFonts w:hint="eastAsia" w:ascii="宋体" w:hAnsi="宋体"/>
          <w:b/>
          <w:szCs w:val="21"/>
          <w:highlight w:val="yellow"/>
        </w:rPr>
        <w:t>日上午10时00分</w:t>
      </w:r>
      <w:r>
        <w:rPr>
          <w:rFonts w:hint="eastAsia" w:ascii="宋体" w:hAnsi="宋体"/>
          <w:b/>
          <w:szCs w:val="21"/>
        </w:rPr>
        <w:t>，</w:t>
      </w:r>
      <w:r>
        <w:rPr>
          <w:rFonts w:hint="eastAsia" w:ascii="宋体" w:hAnsi="宋体"/>
          <w:szCs w:val="21"/>
        </w:rPr>
        <w:t>逾期未收到邮递的投标文件，招标人将不予受理。</w:t>
      </w:r>
    </w:p>
    <w:p>
      <w:pPr>
        <w:spacing w:line="360" w:lineRule="auto"/>
        <w:ind w:firstLine="420" w:firstLineChars="200"/>
        <w:jc w:val="left"/>
        <w:rPr>
          <w:rFonts w:hint="eastAsia" w:ascii="宋体" w:hAnsi="宋体"/>
          <w:szCs w:val="21"/>
        </w:rPr>
      </w:pPr>
      <w:r>
        <w:rPr>
          <w:rFonts w:hint="eastAsia" w:ascii="宋体" w:hAnsi="宋体"/>
          <w:szCs w:val="21"/>
        </w:rPr>
        <w:t>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）网上开标解锁密码递交时间同上。</w:t>
      </w:r>
    </w:p>
    <w:p>
      <w:pPr>
        <w:spacing w:line="360" w:lineRule="auto"/>
        <w:ind w:firstLine="420" w:firstLineChars="200"/>
        <w:jc w:val="left"/>
        <w:rPr>
          <w:rFonts w:hint="eastAsia" w:ascii="宋体" w:hAnsi="宋体"/>
          <w:szCs w:val="21"/>
        </w:rPr>
      </w:pPr>
      <w:r>
        <w:rPr>
          <w:rFonts w:hint="eastAsia" w:ascii="宋体" w:hAnsi="宋体"/>
          <w:szCs w:val="21"/>
        </w:rPr>
        <w:t>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）网上投标报价截止时间同上。</w:t>
      </w:r>
    </w:p>
    <w:p>
      <w:pPr>
        <w:spacing w:line="360" w:lineRule="auto"/>
        <w:ind w:firstLine="420" w:firstLineChars="200"/>
        <w:jc w:val="left"/>
        <w:rPr>
          <w:rFonts w:hint="eastAsia" w:ascii="宋体" w:hAnsi="宋体"/>
          <w:szCs w:val="21"/>
        </w:rPr>
      </w:pPr>
      <w:r>
        <w:rPr>
          <w:rFonts w:hint="eastAsia" w:ascii="宋体" w:hAnsi="宋体"/>
          <w:szCs w:val="21"/>
        </w:rPr>
        <w:t>电子版投标文件上传至中国中铁采购电子商务平台（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）截止时间同上。</w:t>
      </w:r>
    </w:p>
    <w:p>
      <w:pPr>
        <w:spacing w:line="360" w:lineRule="auto"/>
        <w:jc w:val="left"/>
        <w:rPr>
          <w:rFonts w:ascii="宋体"/>
          <w:szCs w:val="21"/>
        </w:rPr>
      </w:pPr>
      <w:r>
        <w:rPr>
          <w:rFonts w:ascii="宋体" w:hAnsi="宋体"/>
          <w:szCs w:val="21"/>
        </w:rPr>
        <w:t>5.2 </w:t>
      </w:r>
      <w:r>
        <w:rPr>
          <w:rFonts w:hint="eastAsia" w:ascii="宋体" w:hAnsi="宋体"/>
          <w:szCs w:val="21"/>
        </w:rPr>
        <w:t>逾期送达的或者未送达指定地点的投标文件，招标人不予受理。</w:t>
      </w:r>
    </w:p>
    <w:p>
      <w:pPr>
        <w:spacing w:line="360" w:lineRule="auto"/>
        <w:jc w:val="left"/>
        <w:rPr>
          <w:rFonts w:ascii="宋体" w:hAnsi="宋体"/>
          <w:szCs w:val="21"/>
        </w:rPr>
      </w:pPr>
      <w:r>
        <w:rPr>
          <w:rFonts w:ascii="宋体" w:hAnsi="宋体"/>
          <w:szCs w:val="21"/>
        </w:rPr>
        <w:t>5.3 </w:t>
      </w:r>
      <w:r>
        <w:rPr>
          <w:rFonts w:hint="eastAsia" w:ascii="宋体" w:hAnsi="宋体"/>
          <w:szCs w:val="21"/>
        </w:rPr>
        <w:t>投标文件以纸质正本文件为准。</w:t>
      </w:r>
    </w:p>
    <w:p>
      <w:pPr>
        <w:spacing w:line="360" w:lineRule="auto"/>
        <w:jc w:val="left"/>
        <w:rPr>
          <w:rFonts w:ascii="宋体" w:hAnsi="宋体"/>
          <w:szCs w:val="21"/>
        </w:rPr>
      </w:pPr>
      <w:r>
        <w:rPr>
          <w:rFonts w:hint="eastAsia" w:ascii="宋体" w:hAnsi="宋体"/>
          <w:szCs w:val="21"/>
        </w:rPr>
        <w:t>5.4  届时投标人想参加开标会，请投标人法定代表人或其委托代理人准时参加。</w:t>
      </w:r>
    </w:p>
    <w:p>
      <w:pPr>
        <w:pStyle w:val="3"/>
      </w:pPr>
      <w:bookmarkStart w:id="17" w:name="_Toc5615"/>
      <w:r>
        <w:t xml:space="preserve">6. </w:t>
      </w:r>
      <w:bookmarkEnd w:id="16"/>
      <w:r>
        <w:rPr>
          <w:rFonts w:hint="eastAsia"/>
        </w:rPr>
        <w:t>发布公告的媒介</w:t>
      </w:r>
      <w:bookmarkEnd w:id="17"/>
    </w:p>
    <w:p>
      <w:pPr>
        <w:ind w:firstLine="420" w:firstLineChars="200"/>
        <w:rPr>
          <w:rFonts w:hint="eastAsia"/>
          <w:b/>
          <w:bCs/>
          <w:kern w:val="0"/>
        </w:rPr>
      </w:pPr>
      <w:r>
        <w:rPr>
          <w:rFonts w:hint="eastAsia"/>
          <w:color w:val="000000"/>
          <w:kern w:val="0"/>
        </w:rPr>
        <w:t>本次招标公告在</w:t>
      </w:r>
      <w:r>
        <w:rPr>
          <w:rFonts w:hint="eastAsia" w:ascii="宋体" w:hAnsi="宋体"/>
          <w:szCs w:val="21"/>
        </w:rPr>
        <w:t>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w:t>
      </w:r>
      <w:r>
        <w:rPr>
          <w:rFonts w:hint="eastAsia"/>
          <w:color w:val="000000"/>
          <w:kern w:val="0"/>
        </w:rPr>
        <w:t>和中国采购与招标网（http://www.chinabidding.com.cn）。</w:t>
      </w:r>
    </w:p>
    <w:p>
      <w:pPr>
        <w:pStyle w:val="3"/>
        <w:rPr>
          <w:kern w:val="0"/>
        </w:rPr>
      </w:pPr>
      <w:bookmarkStart w:id="18" w:name="_Toc4029"/>
      <w:r>
        <w:rPr>
          <w:rFonts w:ascii="宋体" w:hAnsi="宋体"/>
        </w:rPr>
        <w:t xml:space="preserve">7. </w:t>
      </w:r>
      <w:r>
        <w:rPr>
          <w:rFonts w:hint="eastAsia"/>
          <w:kern w:val="0"/>
        </w:rPr>
        <w:t>招标人信息及相关单位联系方式</w:t>
      </w:r>
      <w:bookmarkEnd w:id="18"/>
    </w:p>
    <w:p>
      <w:pPr>
        <w:widowControl/>
        <w:spacing w:line="360" w:lineRule="auto"/>
        <w:ind w:firstLine="422" w:firstLineChars="200"/>
        <w:jc w:val="left"/>
        <w:rPr>
          <w:rFonts w:ascii="宋体" w:hAnsi="宋体" w:cs="宋体"/>
          <w:b/>
          <w:kern w:val="20"/>
          <w:szCs w:val="21"/>
        </w:rPr>
      </w:pPr>
      <w:r>
        <w:rPr>
          <w:rFonts w:hint="eastAsia" w:ascii="宋体" w:hAnsi="宋体" w:cs="宋体"/>
          <w:b/>
          <w:kern w:val="20"/>
          <w:szCs w:val="21"/>
        </w:rPr>
        <w:t>2.1株洲站改扩建工程</w:t>
      </w:r>
    </w:p>
    <w:p>
      <w:pPr>
        <w:spacing w:line="360" w:lineRule="auto"/>
        <w:ind w:right="840" w:firstLine="405"/>
        <w:rPr>
          <w:rFonts w:hint="default" w:eastAsia="宋体"/>
          <w:lang w:val="en-US" w:eastAsia="zh-CN"/>
        </w:rPr>
      </w:pPr>
      <w:r>
        <w:rPr>
          <w:rFonts w:hint="eastAsia"/>
        </w:rPr>
        <w:t>项目联系人：</w:t>
      </w:r>
      <w:r>
        <w:rPr>
          <w:rFonts w:hint="eastAsia"/>
          <w:lang w:val="en-US" w:eastAsia="zh-CN"/>
        </w:rPr>
        <w:t>古国栋</w:t>
      </w:r>
    </w:p>
    <w:p>
      <w:pPr>
        <w:spacing w:line="360" w:lineRule="auto"/>
        <w:ind w:right="840" w:firstLine="405"/>
        <w:rPr>
          <w:rFonts w:hint="default" w:eastAsia="宋体"/>
          <w:lang w:val="en-US" w:eastAsia="zh-CN"/>
        </w:rPr>
      </w:pPr>
      <w:r>
        <w:rPr>
          <w:rFonts w:hint="eastAsia"/>
        </w:rPr>
        <w:t>联系电话：</w:t>
      </w:r>
      <w:r>
        <w:rPr>
          <w:rFonts w:hint="eastAsia" w:ascii="宋体" w:hAnsi="宋体"/>
          <w:szCs w:val="21"/>
          <w:lang w:val="en-US" w:eastAsia="zh-CN"/>
        </w:rPr>
        <w:t>13257088489</w:t>
      </w:r>
    </w:p>
    <w:p>
      <w:pPr>
        <w:spacing w:line="360" w:lineRule="auto"/>
        <w:ind w:right="840" w:firstLine="405"/>
        <w:rPr>
          <w:rFonts w:ascii="宋体"/>
          <w:szCs w:val="21"/>
        </w:rPr>
      </w:pPr>
      <w:r>
        <w:rPr>
          <w:rFonts w:hint="eastAsia"/>
        </w:rPr>
        <w:t>详见</w:t>
      </w:r>
      <w:r>
        <w:rPr>
          <w:rFonts w:hint="eastAsia" w:ascii="宋体"/>
          <w:szCs w:val="21"/>
        </w:rPr>
        <w:t>附表1：招标物资包件划分表</w:t>
      </w:r>
    </w:p>
    <w:p>
      <w:pPr>
        <w:pStyle w:val="3"/>
        <w:rPr>
          <w:rFonts w:cs="宋体"/>
          <w:kern w:val="0"/>
        </w:rPr>
      </w:pPr>
      <w:bookmarkStart w:id="19" w:name="_Toc22934"/>
      <w:r>
        <w:rPr>
          <w:rFonts w:hint="eastAsia"/>
        </w:rPr>
        <w:t>8</w:t>
      </w:r>
      <w:r>
        <w:t xml:space="preserve">. </w:t>
      </w:r>
      <w:r>
        <w:rPr>
          <w:rFonts w:hint="eastAsia" w:cs="宋体"/>
          <w:kern w:val="0"/>
        </w:rPr>
        <w:t>附件(请下载)</w:t>
      </w:r>
      <w:bookmarkEnd w:id="19"/>
    </w:p>
    <w:p>
      <w:pPr>
        <w:spacing w:line="360" w:lineRule="auto"/>
        <w:ind w:right="840"/>
        <w:rPr>
          <w:rFonts w:ascii="宋体"/>
          <w:szCs w:val="21"/>
        </w:rPr>
      </w:pPr>
      <w:r>
        <w:rPr>
          <w:rFonts w:hint="eastAsia" w:ascii="宋体"/>
          <w:szCs w:val="21"/>
        </w:rPr>
        <w:t>附表1：招标物资包件划分表</w:t>
      </w:r>
    </w:p>
    <w:p>
      <w:pPr>
        <w:spacing w:line="360" w:lineRule="auto"/>
        <w:ind w:right="840"/>
        <w:rPr>
          <w:rFonts w:ascii="宋体"/>
          <w:szCs w:val="21"/>
        </w:rPr>
      </w:pPr>
      <w:r>
        <w:rPr>
          <w:rFonts w:hint="eastAsia" w:ascii="宋体"/>
          <w:szCs w:val="21"/>
        </w:rPr>
        <w:t>附表2：投标申请表</w:t>
      </w:r>
    </w:p>
    <w:p>
      <w:pPr>
        <w:spacing w:line="360" w:lineRule="auto"/>
        <w:ind w:right="840"/>
        <w:rPr>
          <w:rFonts w:hint="eastAsia" w:ascii="宋体"/>
          <w:szCs w:val="21"/>
        </w:rPr>
      </w:pPr>
      <w:r>
        <w:rPr>
          <w:rFonts w:hint="eastAsia" w:ascii="宋体"/>
          <w:szCs w:val="21"/>
        </w:rPr>
        <w:t>附表3：招标物资种类、数量以及包件划分表</w:t>
      </w:r>
    </w:p>
    <w:p>
      <w:pPr>
        <w:spacing w:line="360" w:lineRule="auto"/>
        <w:jc w:val="right"/>
        <w:rPr>
          <w:rFonts w:hint="eastAsia" w:ascii="宋体"/>
          <w:szCs w:val="21"/>
        </w:rPr>
      </w:pPr>
      <w:r>
        <w:rPr>
          <w:rFonts w:hint="eastAsia" w:ascii="宋体" w:hAnsi="宋体"/>
          <w:szCs w:val="21"/>
        </w:rPr>
        <w:t>中铁建工集团有限公司广州分公司</w:t>
      </w:r>
    </w:p>
    <w:p>
      <w:pPr>
        <w:spacing w:line="360" w:lineRule="auto"/>
        <w:ind w:right="420"/>
        <w:jc w:val="right"/>
        <w:rPr>
          <w:rFonts w:ascii="宋体" w:hAnsi="宋体"/>
          <w:szCs w:val="21"/>
        </w:rPr>
      </w:pPr>
      <w:r>
        <w:rPr>
          <w:rFonts w:ascii="宋体" w:hAnsi="宋体"/>
          <w:szCs w:val="21"/>
        </w:rPr>
        <w:t>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11</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w:t>
      </w: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spacing w:line="360" w:lineRule="auto"/>
        <w:ind w:right="420"/>
        <w:rPr>
          <w:rFonts w:hint="eastAsia" w:ascii="宋体"/>
          <w:szCs w:val="21"/>
        </w:rPr>
      </w:pPr>
    </w:p>
    <w:p>
      <w:pPr>
        <w:pStyle w:val="3"/>
        <w:rPr>
          <w:kern w:val="0"/>
        </w:rPr>
      </w:pPr>
      <w:bookmarkStart w:id="20" w:name="_Toc18157"/>
      <w:r>
        <w:rPr>
          <w:rFonts w:hint="eastAsia"/>
          <w:kern w:val="0"/>
        </w:rPr>
        <w:t>附表</w:t>
      </w:r>
      <w:r>
        <w:rPr>
          <w:kern w:val="0"/>
        </w:rPr>
        <w:t>1</w:t>
      </w:r>
      <w:r>
        <w:rPr>
          <w:rFonts w:hint="eastAsia"/>
          <w:kern w:val="0"/>
        </w:rPr>
        <w:t>：招标物资包件划分表</w:t>
      </w:r>
      <w:bookmarkEnd w:id="20"/>
    </w:p>
    <w:tbl>
      <w:tblPr>
        <w:tblStyle w:val="4"/>
        <w:tblpPr w:leftFromText="180" w:rightFromText="180" w:vertAnchor="text" w:horzAnchor="margin" w:tblpXSpec="center" w:tblpY="238"/>
        <w:tblOverlap w:val="never"/>
        <w:tblW w:w="11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92"/>
        <w:gridCol w:w="709"/>
        <w:gridCol w:w="850"/>
        <w:gridCol w:w="709"/>
        <w:gridCol w:w="2693"/>
        <w:gridCol w:w="851"/>
        <w:gridCol w:w="743"/>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091" w:type="dxa"/>
            <w:gridSpan w:val="9"/>
            <w:noWrap w:val="0"/>
            <w:vAlign w:val="center"/>
          </w:tcPr>
          <w:p>
            <w:pPr>
              <w:widowControl/>
              <w:shd w:val="clear" w:color="auto" w:fill="FFFFFF"/>
              <w:jc w:val="center"/>
              <w:rPr>
                <w:rFonts w:hint="eastAsia" w:cs="宋体"/>
                <w:kern w:val="0"/>
                <w:szCs w:val="21"/>
              </w:rPr>
            </w:pPr>
            <w:r>
              <w:rPr>
                <w:rFonts w:hint="eastAsia" w:ascii="宋体" w:hAnsi="宋体" w:cs="宋体"/>
                <w:b/>
                <w:bCs/>
                <w:kern w:val="0"/>
                <w:sz w:val="18"/>
                <w:szCs w:val="18"/>
              </w:rPr>
              <w:t>招标人名称：中铁建工集团有限公司株洲站改扩建工程项目经理部                                    招标编号：WZ-DS-20</w:t>
            </w:r>
            <w:r>
              <w:rPr>
                <w:rFonts w:hint="eastAsia" w:ascii="宋体" w:hAnsi="宋体" w:cs="宋体"/>
                <w:b/>
                <w:bCs/>
                <w:kern w:val="0"/>
                <w:sz w:val="18"/>
                <w:szCs w:val="18"/>
                <w:lang w:val="en-US" w:eastAsia="zh-CN"/>
              </w:rPr>
              <w:t>20</w:t>
            </w:r>
            <w:r>
              <w:rPr>
                <w:rFonts w:hint="eastAsia" w:ascii="宋体" w:hAnsi="宋体" w:cs="宋体"/>
                <w:b/>
                <w:bCs/>
                <w:kern w:val="0"/>
                <w:sz w:val="18"/>
                <w:szCs w:val="18"/>
              </w:rPr>
              <w:t>-</w:t>
            </w:r>
            <w:r>
              <w:rPr>
                <w:rFonts w:hint="eastAsia" w:ascii="宋体" w:hAnsi="宋体" w:cs="宋体"/>
                <w:b/>
                <w:bCs/>
                <w:kern w:val="0"/>
                <w:sz w:val="18"/>
                <w:szCs w:val="18"/>
                <w:lang w:val="en-US" w:eastAsia="zh-CN"/>
              </w:rPr>
              <w:t>182</w:t>
            </w:r>
            <w:r>
              <w:rPr>
                <w:rFonts w:hint="eastAsia" w:ascii="宋体" w:hAnsi="宋体" w:cs="宋体"/>
                <w:b/>
                <w:bCs/>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526" w:type="dxa"/>
            <w:noWrap w:val="0"/>
            <w:vAlign w:val="center"/>
          </w:tcPr>
          <w:p>
            <w:pPr>
              <w:widowControl/>
              <w:shd w:val="clear" w:color="auto" w:fill="FFFFFF"/>
              <w:jc w:val="center"/>
              <w:rPr>
                <w:rFonts w:cs="宋体"/>
                <w:kern w:val="0"/>
                <w:szCs w:val="21"/>
              </w:rPr>
            </w:pPr>
            <w:r>
              <w:rPr>
                <w:rFonts w:hint="eastAsia" w:cs="宋体"/>
                <w:kern w:val="0"/>
                <w:szCs w:val="21"/>
              </w:rPr>
              <w:t>招标物资名称</w:t>
            </w:r>
          </w:p>
        </w:tc>
        <w:tc>
          <w:tcPr>
            <w:tcW w:w="992" w:type="dxa"/>
            <w:noWrap w:val="0"/>
            <w:vAlign w:val="center"/>
          </w:tcPr>
          <w:p>
            <w:pPr>
              <w:widowControl/>
              <w:shd w:val="clear" w:color="auto" w:fill="FFFFFF"/>
              <w:jc w:val="center"/>
              <w:rPr>
                <w:rFonts w:cs="宋体"/>
                <w:kern w:val="0"/>
                <w:szCs w:val="21"/>
              </w:rPr>
            </w:pPr>
            <w:r>
              <w:rPr>
                <w:rFonts w:hint="eastAsia" w:cs="宋体"/>
                <w:kern w:val="0"/>
                <w:szCs w:val="21"/>
              </w:rPr>
              <w:t>包件</w:t>
            </w:r>
          </w:p>
          <w:p>
            <w:pPr>
              <w:widowControl/>
              <w:shd w:val="clear" w:color="auto" w:fill="FFFFFF"/>
              <w:jc w:val="center"/>
              <w:rPr>
                <w:rFonts w:cs="宋体"/>
                <w:kern w:val="0"/>
                <w:szCs w:val="21"/>
              </w:rPr>
            </w:pPr>
            <w:r>
              <w:rPr>
                <w:rFonts w:hint="eastAsia" w:cs="宋体"/>
                <w:kern w:val="0"/>
                <w:szCs w:val="21"/>
              </w:rPr>
              <w:t>编号</w:t>
            </w:r>
          </w:p>
        </w:tc>
        <w:tc>
          <w:tcPr>
            <w:tcW w:w="709" w:type="dxa"/>
            <w:noWrap w:val="0"/>
            <w:vAlign w:val="center"/>
          </w:tcPr>
          <w:p>
            <w:pPr>
              <w:widowControl/>
              <w:shd w:val="clear" w:color="auto" w:fill="FFFFFF"/>
              <w:jc w:val="center"/>
              <w:rPr>
                <w:rFonts w:cs="宋体"/>
                <w:kern w:val="0"/>
                <w:szCs w:val="21"/>
              </w:rPr>
            </w:pPr>
            <w:r>
              <w:rPr>
                <w:rFonts w:hint="eastAsia" w:cs="宋体"/>
                <w:kern w:val="0"/>
                <w:szCs w:val="21"/>
              </w:rPr>
              <w:t>计量</w:t>
            </w:r>
          </w:p>
          <w:p>
            <w:pPr>
              <w:widowControl/>
              <w:shd w:val="clear" w:color="auto" w:fill="FFFFFF"/>
              <w:jc w:val="center"/>
              <w:rPr>
                <w:rFonts w:cs="宋体"/>
                <w:kern w:val="0"/>
                <w:szCs w:val="21"/>
              </w:rPr>
            </w:pPr>
            <w:r>
              <w:rPr>
                <w:rFonts w:hint="eastAsia" w:cs="宋体"/>
                <w:kern w:val="0"/>
                <w:szCs w:val="21"/>
              </w:rPr>
              <w:t>单位</w:t>
            </w:r>
          </w:p>
        </w:tc>
        <w:tc>
          <w:tcPr>
            <w:tcW w:w="850" w:type="dxa"/>
            <w:noWrap w:val="0"/>
            <w:vAlign w:val="center"/>
          </w:tcPr>
          <w:p>
            <w:pPr>
              <w:widowControl/>
              <w:shd w:val="clear" w:color="auto" w:fill="FFFFFF"/>
              <w:jc w:val="center"/>
              <w:rPr>
                <w:rFonts w:cs="宋体"/>
                <w:kern w:val="0"/>
                <w:szCs w:val="21"/>
              </w:rPr>
            </w:pPr>
            <w:r>
              <w:rPr>
                <w:rFonts w:hint="eastAsia" w:cs="宋体"/>
                <w:kern w:val="0"/>
                <w:szCs w:val="21"/>
              </w:rPr>
              <w:t>包件</w:t>
            </w:r>
          </w:p>
          <w:p>
            <w:pPr>
              <w:widowControl/>
              <w:shd w:val="clear" w:color="auto" w:fill="FFFFFF"/>
              <w:jc w:val="center"/>
              <w:rPr>
                <w:rFonts w:cs="宋体"/>
                <w:kern w:val="0"/>
                <w:szCs w:val="21"/>
              </w:rPr>
            </w:pPr>
            <w:r>
              <w:rPr>
                <w:rFonts w:hint="eastAsia" w:cs="宋体"/>
                <w:kern w:val="0"/>
                <w:szCs w:val="21"/>
              </w:rPr>
              <w:t>数量</w:t>
            </w:r>
          </w:p>
        </w:tc>
        <w:tc>
          <w:tcPr>
            <w:tcW w:w="709" w:type="dxa"/>
            <w:noWrap w:val="0"/>
            <w:vAlign w:val="center"/>
          </w:tcPr>
          <w:p>
            <w:pPr>
              <w:widowControl/>
              <w:shd w:val="clear" w:color="auto" w:fill="FFFFFF"/>
              <w:jc w:val="center"/>
              <w:rPr>
                <w:rFonts w:cs="宋体"/>
                <w:kern w:val="0"/>
                <w:szCs w:val="21"/>
              </w:rPr>
            </w:pPr>
            <w:r>
              <w:rPr>
                <w:rFonts w:hint="eastAsia" w:cs="宋体"/>
                <w:kern w:val="0"/>
                <w:szCs w:val="21"/>
              </w:rPr>
              <w:t>招标人</w:t>
            </w:r>
          </w:p>
        </w:tc>
        <w:tc>
          <w:tcPr>
            <w:tcW w:w="2693" w:type="dxa"/>
            <w:noWrap w:val="0"/>
            <w:vAlign w:val="center"/>
          </w:tcPr>
          <w:p>
            <w:pPr>
              <w:widowControl/>
              <w:shd w:val="clear" w:color="auto" w:fill="FFFFFF"/>
              <w:jc w:val="center"/>
              <w:rPr>
                <w:rFonts w:cs="宋体"/>
                <w:kern w:val="0"/>
                <w:szCs w:val="21"/>
              </w:rPr>
            </w:pPr>
            <w:r>
              <w:rPr>
                <w:rFonts w:hint="eastAsia" w:cs="宋体"/>
                <w:kern w:val="0"/>
                <w:szCs w:val="21"/>
              </w:rPr>
              <w:t>投标人资格条件</w:t>
            </w:r>
          </w:p>
        </w:tc>
        <w:tc>
          <w:tcPr>
            <w:tcW w:w="851" w:type="dxa"/>
            <w:noWrap w:val="0"/>
            <w:vAlign w:val="center"/>
          </w:tcPr>
          <w:p>
            <w:pPr>
              <w:widowControl/>
              <w:shd w:val="clear" w:color="auto" w:fill="FFFFFF"/>
              <w:jc w:val="center"/>
              <w:rPr>
                <w:rFonts w:cs="宋体"/>
                <w:kern w:val="0"/>
                <w:sz w:val="18"/>
                <w:szCs w:val="18"/>
              </w:rPr>
            </w:pPr>
            <w:r>
              <w:rPr>
                <w:rFonts w:hint="eastAsia" w:cs="宋体"/>
                <w:kern w:val="0"/>
                <w:sz w:val="18"/>
                <w:szCs w:val="18"/>
              </w:rPr>
              <w:t>招标文件</w:t>
            </w:r>
          </w:p>
          <w:p>
            <w:pPr>
              <w:widowControl/>
              <w:shd w:val="clear" w:color="auto" w:fill="FFFFFF"/>
              <w:rPr>
                <w:rFonts w:cs="宋体"/>
                <w:kern w:val="0"/>
                <w:sz w:val="18"/>
                <w:szCs w:val="18"/>
              </w:rPr>
            </w:pPr>
            <w:r>
              <w:rPr>
                <w:rFonts w:hint="eastAsia" w:cs="宋体"/>
                <w:kern w:val="0"/>
                <w:sz w:val="18"/>
                <w:szCs w:val="18"/>
              </w:rPr>
              <w:t>售价（元）</w:t>
            </w:r>
          </w:p>
        </w:tc>
        <w:tc>
          <w:tcPr>
            <w:tcW w:w="743" w:type="dxa"/>
            <w:noWrap w:val="0"/>
            <w:vAlign w:val="center"/>
          </w:tcPr>
          <w:p>
            <w:pPr>
              <w:widowControl/>
              <w:shd w:val="clear" w:color="auto" w:fill="FFFFFF"/>
              <w:jc w:val="center"/>
              <w:rPr>
                <w:rFonts w:cs="宋体"/>
                <w:kern w:val="0"/>
                <w:sz w:val="18"/>
                <w:szCs w:val="18"/>
              </w:rPr>
            </w:pPr>
            <w:r>
              <w:rPr>
                <w:rFonts w:hint="eastAsia" w:cs="宋体"/>
                <w:kern w:val="0"/>
                <w:sz w:val="18"/>
                <w:szCs w:val="18"/>
              </w:rPr>
              <w:t>投标保证金（万元）</w:t>
            </w:r>
          </w:p>
        </w:tc>
        <w:tc>
          <w:tcPr>
            <w:tcW w:w="2018" w:type="dxa"/>
            <w:noWrap w:val="0"/>
            <w:vAlign w:val="center"/>
          </w:tcPr>
          <w:p>
            <w:pPr>
              <w:widowControl/>
              <w:shd w:val="clear" w:color="auto" w:fill="FFFFFF"/>
              <w:jc w:val="center"/>
              <w:rPr>
                <w:rFonts w:cs="宋体"/>
                <w:kern w:val="0"/>
                <w:szCs w:val="21"/>
              </w:rPr>
            </w:pPr>
            <w:r>
              <w:rPr>
                <w:rFonts w:hint="eastAsia" w:cs="宋体"/>
                <w:kern w:val="0"/>
                <w:szCs w:val="21"/>
              </w:rPr>
              <w:t>联系人及收款账号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7" w:hRule="atLeast"/>
        </w:trPr>
        <w:tc>
          <w:tcPr>
            <w:tcW w:w="1526" w:type="dxa"/>
            <w:noWrap w:val="0"/>
            <w:vAlign w:val="center"/>
          </w:tcPr>
          <w:p>
            <w:pPr>
              <w:jc w:val="center"/>
              <w:rPr>
                <w:rFonts w:hint="default" w:ascii="宋体" w:hAnsi="宋体" w:eastAsia="宋体"/>
                <w:bCs/>
                <w:sz w:val="18"/>
                <w:szCs w:val="18"/>
                <w:lang w:val="en-US" w:eastAsia="zh-CN"/>
              </w:rPr>
            </w:pPr>
            <w:r>
              <w:rPr>
                <w:rFonts w:hint="eastAsia" w:ascii="宋体" w:hAnsi="宋体"/>
                <w:bCs/>
                <w:sz w:val="18"/>
                <w:szCs w:val="18"/>
                <w:lang w:val="en-US" w:eastAsia="zh-CN"/>
              </w:rPr>
              <w:t>电力电缆</w:t>
            </w:r>
          </w:p>
        </w:tc>
        <w:tc>
          <w:tcPr>
            <w:tcW w:w="992" w:type="dxa"/>
            <w:noWrap w:val="0"/>
            <w:vAlign w:val="center"/>
          </w:tcPr>
          <w:p>
            <w:pPr>
              <w:jc w:val="center"/>
              <w:rPr>
                <w:rFonts w:ascii="宋体" w:hAnsi="宋体"/>
                <w:bCs/>
                <w:sz w:val="18"/>
                <w:szCs w:val="18"/>
              </w:rPr>
            </w:pPr>
            <w:r>
              <w:rPr>
                <w:rFonts w:hint="eastAsia" w:ascii="宋体" w:hAnsi="宋体"/>
                <w:bCs/>
                <w:sz w:val="18"/>
                <w:szCs w:val="18"/>
              </w:rPr>
              <w:t>A-01</w:t>
            </w:r>
          </w:p>
        </w:tc>
        <w:tc>
          <w:tcPr>
            <w:tcW w:w="709" w:type="dxa"/>
            <w:noWrap w:val="0"/>
            <w:vAlign w:val="center"/>
          </w:tcPr>
          <w:p>
            <w:pPr>
              <w:jc w:val="center"/>
              <w:rPr>
                <w:rFonts w:hint="default" w:ascii="宋体" w:hAnsi="宋体" w:eastAsia="宋体"/>
                <w:bCs/>
                <w:sz w:val="18"/>
                <w:szCs w:val="18"/>
                <w:lang w:val="en-US" w:eastAsia="zh-CN"/>
              </w:rPr>
            </w:pPr>
            <w:r>
              <w:rPr>
                <w:rFonts w:hint="eastAsia" w:ascii="宋体" w:hAnsi="宋体"/>
                <w:bCs/>
                <w:sz w:val="18"/>
                <w:szCs w:val="18"/>
                <w:lang w:val="en-US" w:eastAsia="zh-CN"/>
              </w:rPr>
              <w:t>m</w:t>
            </w:r>
          </w:p>
        </w:tc>
        <w:tc>
          <w:tcPr>
            <w:tcW w:w="850" w:type="dxa"/>
            <w:noWrap w:val="0"/>
            <w:vAlign w:val="center"/>
          </w:tcPr>
          <w:p>
            <w:pPr>
              <w:jc w:val="center"/>
              <w:rPr>
                <w:rFonts w:hint="default" w:ascii="宋体" w:hAnsi="宋体" w:eastAsia="宋体"/>
                <w:bCs/>
                <w:sz w:val="18"/>
                <w:szCs w:val="18"/>
                <w:lang w:val="en-US" w:eastAsia="zh-CN"/>
              </w:rPr>
            </w:pPr>
            <w:r>
              <w:rPr>
                <w:rFonts w:hint="eastAsia" w:ascii="宋体" w:hAnsi="宋体" w:eastAsia="宋体"/>
                <w:bCs/>
                <w:sz w:val="18"/>
                <w:szCs w:val="18"/>
                <w:lang w:val="en-US" w:eastAsia="zh-CN"/>
              </w:rPr>
              <w:t>20555</w:t>
            </w:r>
          </w:p>
        </w:tc>
        <w:tc>
          <w:tcPr>
            <w:tcW w:w="709" w:type="dxa"/>
            <w:noWrap w:val="0"/>
            <w:vAlign w:val="center"/>
          </w:tcPr>
          <w:p>
            <w:pPr>
              <w:shd w:val="clear" w:color="auto" w:fill="FFFFFF"/>
              <w:jc w:val="center"/>
              <w:rPr>
                <w:rFonts w:ascii="宋体" w:hAnsi="宋体"/>
                <w:sz w:val="18"/>
                <w:szCs w:val="18"/>
              </w:rPr>
            </w:pPr>
            <w:r>
              <w:rPr>
                <w:rFonts w:hint="eastAsia" w:ascii="宋体" w:hAnsi="宋体" w:cs="宋体"/>
                <w:kern w:val="20"/>
                <w:sz w:val="18"/>
                <w:szCs w:val="18"/>
              </w:rPr>
              <w:t>中铁建工集团有限公司广州分公司</w:t>
            </w:r>
          </w:p>
        </w:tc>
        <w:tc>
          <w:tcPr>
            <w:tcW w:w="2693" w:type="dxa"/>
            <w:noWrap w:val="0"/>
            <w:vAlign w:val="center"/>
          </w:tcPr>
          <w:p>
            <w:pPr>
              <w:jc w:val="left"/>
              <w:rPr>
                <w:rFonts w:ascii="宋体" w:hAnsi="宋体"/>
                <w:sz w:val="18"/>
                <w:szCs w:val="18"/>
              </w:rPr>
            </w:pPr>
            <w:r>
              <w:rPr>
                <w:rFonts w:hint="eastAsia" w:ascii="宋体" w:hAnsi="宋体"/>
                <w:bCs/>
                <w:sz w:val="18"/>
                <w:szCs w:val="18"/>
              </w:rPr>
              <w:t xml:space="preserve">1.营业范围要求：在中华人民共和国境内依法注册，具有招标物资生产或供应经验的生产厂、代理商或经销商，并且具有合法、有效的营业执照、税务登记证书、组织机构代码证书。                                  </w:t>
            </w:r>
          </w:p>
          <w:p>
            <w:pPr>
              <w:jc w:val="left"/>
              <w:rPr>
                <w:rFonts w:hint="eastAsia" w:ascii="宋体" w:hAnsi="宋体"/>
                <w:bCs/>
                <w:sz w:val="18"/>
                <w:szCs w:val="18"/>
              </w:rPr>
            </w:pPr>
            <w:r>
              <w:rPr>
                <w:rFonts w:ascii="宋体" w:hAnsi="宋体"/>
                <w:bCs/>
                <w:sz w:val="18"/>
                <w:szCs w:val="18"/>
              </w:rPr>
              <w:t>2</w:t>
            </w:r>
            <w:r>
              <w:rPr>
                <w:rFonts w:hint="eastAsia" w:ascii="宋体" w:hAnsi="宋体"/>
                <w:bCs/>
                <w:sz w:val="18"/>
                <w:szCs w:val="18"/>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w:t>
            </w:r>
          </w:p>
          <w:p>
            <w:pPr>
              <w:spacing w:line="300" w:lineRule="exact"/>
              <w:rPr>
                <w:rFonts w:hint="eastAsia" w:ascii="宋体" w:hAnsi="宋体"/>
                <w:sz w:val="18"/>
                <w:szCs w:val="18"/>
              </w:rPr>
            </w:pPr>
            <w:r>
              <w:rPr>
                <w:rFonts w:hint="eastAsia" w:ascii="宋体" w:hAnsi="宋体"/>
                <w:sz w:val="18"/>
                <w:szCs w:val="18"/>
                <w:lang w:val="en-US" w:eastAsia="zh-CN"/>
              </w:rPr>
              <w:t>3.</w:t>
            </w:r>
            <w:r>
              <w:rPr>
                <w:rFonts w:hint="eastAsia" w:ascii="宋体" w:hAnsi="宋体"/>
                <w:sz w:val="18"/>
                <w:szCs w:val="18"/>
              </w:rPr>
              <w:t>投标人具有有效的ISO质量管理体系认证证书。</w:t>
            </w:r>
          </w:p>
          <w:p>
            <w:pPr>
              <w:spacing w:line="300" w:lineRule="exact"/>
              <w:rPr>
                <w:rFonts w:hint="eastAsia" w:ascii="宋体" w:hAnsi="宋体"/>
                <w:sz w:val="18"/>
                <w:szCs w:val="18"/>
              </w:rPr>
            </w:pPr>
            <w:r>
              <w:rPr>
                <w:rFonts w:hint="eastAsia" w:ascii="宋体" w:hAnsi="宋体"/>
                <w:sz w:val="18"/>
                <w:szCs w:val="18"/>
              </w:rPr>
              <w:t>4.有按国家规定的标准的检测和检验合格的专业生产设备。</w:t>
            </w:r>
          </w:p>
          <w:p>
            <w:pPr>
              <w:spacing w:line="300" w:lineRule="exact"/>
              <w:rPr>
                <w:rFonts w:hint="eastAsia" w:ascii="宋体" w:hAnsi="宋体"/>
                <w:sz w:val="18"/>
                <w:szCs w:val="18"/>
              </w:rPr>
            </w:pPr>
            <w:r>
              <w:rPr>
                <w:rFonts w:hint="eastAsia" w:ascii="宋体" w:hAnsi="宋体"/>
                <w:sz w:val="18"/>
                <w:szCs w:val="18"/>
              </w:rPr>
              <w:t>5.具有一定规模和良好的资金财务状况及银行信誉。</w:t>
            </w:r>
          </w:p>
          <w:p>
            <w:pPr>
              <w:spacing w:line="240" w:lineRule="exact"/>
              <w:rPr>
                <w:rFonts w:hint="eastAsia" w:ascii="宋体" w:hAnsi="宋体"/>
                <w:sz w:val="18"/>
                <w:szCs w:val="18"/>
              </w:rPr>
            </w:pPr>
            <w:r>
              <w:rPr>
                <w:rFonts w:hint="eastAsia" w:ascii="宋体" w:hAnsi="宋体"/>
                <w:sz w:val="18"/>
                <w:szCs w:val="18"/>
              </w:rPr>
              <w:t>6.投标人只接受《中国中铁2019-2021年度电线电缆准入供应商名录的通知》内的供应商参与投标。</w:t>
            </w:r>
          </w:p>
          <w:p>
            <w:pPr>
              <w:jc w:val="left"/>
              <w:rPr>
                <w:rFonts w:hint="eastAsia" w:ascii="宋体" w:hAnsi="宋体"/>
                <w:bCs/>
                <w:sz w:val="18"/>
                <w:szCs w:val="18"/>
              </w:rPr>
            </w:pPr>
          </w:p>
        </w:tc>
        <w:tc>
          <w:tcPr>
            <w:tcW w:w="851" w:type="dxa"/>
            <w:noWrap w:val="0"/>
            <w:vAlign w:val="center"/>
          </w:tcPr>
          <w:p>
            <w:pPr>
              <w:widowControl/>
              <w:shd w:val="clear" w:color="auto" w:fill="FFFFFF"/>
              <w:jc w:val="center"/>
              <w:rPr>
                <w:rFonts w:hint="default" w:eastAsia="宋体" w:cs="宋体"/>
                <w:kern w:val="0"/>
                <w:szCs w:val="21"/>
                <w:lang w:val="en-US" w:eastAsia="zh-CN"/>
              </w:rPr>
            </w:pPr>
            <w:r>
              <w:rPr>
                <w:rFonts w:hint="eastAsia" w:cs="宋体"/>
                <w:kern w:val="0"/>
                <w:szCs w:val="21"/>
                <w:lang w:val="en-US" w:eastAsia="zh-CN"/>
              </w:rPr>
              <w:t>200</w:t>
            </w:r>
          </w:p>
        </w:tc>
        <w:tc>
          <w:tcPr>
            <w:tcW w:w="743" w:type="dxa"/>
            <w:noWrap w:val="0"/>
            <w:vAlign w:val="center"/>
          </w:tcPr>
          <w:p>
            <w:pPr>
              <w:widowControl/>
              <w:shd w:val="clear" w:color="auto" w:fill="FFFFFF"/>
              <w:jc w:val="center"/>
              <w:rPr>
                <w:rFonts w:cs="宋体"/>
                <w:kern w:val="0"/>
                <w:szCs w:val="21"/>
              </w:rPr>
            </w:pPr>
            <w:r>
              <w:rPr>
                <w:rFonts w:cs="宋体"/>
                <w:kern w:val="0"/>
                <w:szCs w:val="21"/>
              </w:rPr>
              <w:t>1</w:t>
            </w:r>
          </w:p>
        </w:tc>
        <w:tc>
          <w:tcPr>
            <w:tcW w:w="2018" w:type="dxa"/>
            <w:noWrap w:val="0"/>
            <w:vAlign w:val="center"/>
          </w:tcPr>
          <w:p>
            <w:pPr>
              <w:jc w:val="left"/>
              <w:rPr>
                <w:rFonts w:hint="default" w:ascii="宋体" w:hAnsi="宋体" w:eastAsia="宋体"/>
                <w:bCs/>
                <w:sz w:val="18"/>
                <w:szCs w:val="18"/>
                <w:lang w:val="en-US" w:eastAsia="zh-CN"/>
              </w:rPr>
            </w:pPr>
            <w:r>
              <w:rPr>
                <w:rFonts w:hint="eastAsia" w:ascii="宋体" w:hAnsi="宋体"/>
                <w:bCs/>
                <w:sz w:val="18"/>
                <w:szCs w:val="18"/>
              </w:rPr>
              <w:t>项目联系人：</w:t>
            </w:r>
            <w:r>
              <w:rPr>
                <w:rFonts w:hint="eastAsia" w:ascii="宋体" w:hAnsi="宋体"/>
                <w:bCs/>
                <w:sz w:val="18"/>
                <w:szCs w:val="18"/>
                <w:lang w:val="en-US" w:eastAsia="zh-CN"/>
              </w:rPr>
              <w:t>古国栋</w:t>
            </w:r>
          </w:p>
          <w:p>
            <w:pPr>
              <w:jc w:val="left"/>
              <w:rPr>
                <w:rFonts w:ascii="宋体" w:hAnsi="宋体"/>
                <w:bCs/>
                <w:sz w:val="18"/>
                <w:szCs w:val="18"/>
              </w:rPr>
            </w:pPr>
            <w:r>
              <w:rPr>
                <w:rFonts w:hint="eastAsia" w:ascii="宋体" w:hAnsi="宋体"/>
                <w:bCs/>
                <w:sz w:val="18"/>
                <w:szCs w:val="18"/>
              </w:rPr>
              <w:t>联系电话：13257088489</w:t>
            </w:r>
          </w:p>
          <w:p>
            <w:pPr>
              <w:jc w:val="left"/>
              <w:rPr>
                <w:rFonts w:hint="eastAsia" w:ascii="宋体" w:hAnsi="宋体"/>
                <w:bCs/>
                <w:sz w:val="18"/>
                <w:szCs w:val="18"/>
              </w:rPr>
            </w:pPr>
            <w:r>
              <w:rPr>
                <w:rFonts w:hint="eastAsia" w:ascii="宋体" w:hAnsi="宋体"/>
                <w:bCs/>
                <w:sz w:val="18"/>
                <w:szCs w:val="18"/>
              </w:rPr>
              <w:t>邮箱：</w:t>
            </w:r>
            <w:r>
              <w:rPr>
                <w:rFonts w:hint="eastAsia" w:ascii="宋体" w:hAnsi="宋体"/>
                <w:bCs/>
                <w:sz w:val="18"/>
                <w:szCs w:val="18"/>
                <w:lang w:val="en-US" w:eastAsia="zh-CN"/>
              </w:rPr>
              <w:t>914344548</w:t>
            </w:r>
            <w:r>
              <w:rPr>
                <w:rFonts w:hint="eastAsia" w:ascii="宋体" w:hAnsi="宋体"/>
                <w:bCs/>
                <w:sz w:val="18"/>
                <w:szCs w:val="18"/>
              </w:rPr>
              <w:t>@qq.com</w:t>
            </w:r>
          </w:p>
          <w:p>
            <w:pPr>
              <w:jc w:val="left"/>
              <w:rPr>
                <w:rFonts w:hint="eastAsia" w:ascii="宋体" w:hAnsi="宋体"/>
                <w:bCs/>
                <w:sz w:val="18"/>
                <w:szCs w:val="18"/>
              </w:rPr>
            </w:pPr>
            <w:r>
              <w:rPr>
                <w:rFonts w:hint="eastAsia" w:ascii="宋体" w:hAnsi="宋体"/>
                <w:bCs/>
                <w:sz w:val="18"/>
                <w:szCs w:val="18"/>
              </w:rPr>
              <w:t>财务联系人：周维江</w:t>
            </w:r>
          </w:p>
          <w:p>
            <w:pPr>
              <w:jc w:val="left"/>
              <w:rPr>
                <w:rFonts w:hint="eastAsia" w:ascii="宋体" w:hAnsi="宋体"/>
                <w:bCs/>
                <w:sz w:val="18"/>
                <w:szCs w:val="18"/>
              </w:rPr>
            </w:pPr>
            <w:r>
              <w:rPr>
                <w:rFonts w:hint="eastAsia" w:ascii="宋体" w:hAnsi="宋体"/>
                <w:bCs/>
                <w:sz w:val="18"/>
                <w:szCs w:val="18"/>
              </w:rPr>
              <w:t>联系电话：18825841697</w:t>
            </w:r>
          </w:p>
          <w:p>
            <w:pPr>
              <w:jc w:val="left"/>
              <w:rPr>
                <w:rFonts w:ascii="宋体" w:hAnsi="宋体"/>
                <w:bCs/>
                <w:sz w:val="18"/>
                <w:szCs w:val="18"/>
              </w:rPr>
            </w:pPr>
            <w:r>
              <w:rPr>
                <w:rFonts w:hint="eastAsia" w:ascii="宋体" w:hAnsi="宋体"/>
                <w:bCs/>
                <w:sz w:val="18"/>
                <w:szCs w:val="18"/>
              </w:rPr>
              <w:t>账户名称：</w:t>
            </w:r>
            <w:r>
              <w:rPr>
                <w:rFonts w:ascii="宋体" w:hAnsi="宋体"/>
                <w:bCs/>
                <w:sz w:val="18"/>
                <w:szCs w:val="18"/>
              </w:rPr>
              <w:t xml:space="preserve"> </w:t>
            </w:r>
            <w:r>
              <w:rPr>
                <w:rFonts w:hint="eastAsia" w:ascii="宋体" w:hAnsi="宋体"/>
                <w:sz w:val="18"/>
                <w:szCs w:val="18"/>
              </w:rPr>
              <w:t>中铁建工集团有限公司</w:t>
            </w:r>
            <w:r>
              <w:rPr>
                <w:rFonts w:hint="eastAsia" w:ascii="宋体" w:hAnsi="宋体"/>
                <w:sz w:val="18"/>
                <w:szCs w:val="18"/>
                <w:lang w:val="en-US" w:eastAsia="zh-CN"/>
              </w:rPr>
              <w:t>株洲站改扩建工程项目经理部</w:t>
            </w:r>
          </w:p>
          <w:p>
            <w:pPr>
              <w:jc w:val="left"/>
              <w:rPr>
                <w:rFonts w:ascii="宋体" w:hAnsi="宋体"/>
                <w:bCs/>
                <w:sz w:val="18"/>
                <w:szCs w:val="18"/>
              </w:rPr>
            </w:pPr>
            <w:r>
              <w:rPr>
                <w:rFonts w:hint="eastAsia" w:ascii="宋体" w:hAnsi="宋体"/>
                <w:bCs/>
                <w:sz w:val="18"/>
                <w:szCs w:val="18"/>
              </w:rPr>
              <w:t>银行帐号：</w:t>
            </w:r>
            <w:r>
              <w:rPr>
                <w:rFonts w:hint="eastAsia" w:ascii="宋体" w:hAnsi="宋体"/>
                <w:sz w:val="18"/>
                <w:szCs w:val="18"/>
              </w:rPr>
              <w:t>601574364928</w:t>
            </w:r>
          </w:p>
          <w:p>
            <w:pPr>
              <w:jc w:val="left"/>
              <w:rPr>
                <w:rFonts w:hint="eastAsia" w:ascii="宋体" w:hAnsi="宋体"/>
                <w:bCs/>
                <w:sz w:val="18"/>
                <w:szCs w:val="18"/>
              </w:rPr>
            </w:pPr>
            <w:r>
              <w:rPr>
                <w:rFonts w:hint="eastAsia" w:ascii="宋体" w:hAnsi="宋体"/>
                <w:bCs/>
                <w:sz w:val="18"/>
                <w:szCs w:val="18"/>
              </w:rPr>
              <w:t>开户行：</w:t>
            </w:r>
            <w:r>
              <w:rPr>
                <w:rFonts w:ascii="宋体" w:hAnsi="宋体"/>
                <w:bCs/>
                <w:sz w:val="18"/>
                <w:szCs w:val="18"/>
              </w:rPr>
              <w:t xml:space="preserve"> </w:t>
            </w:r>
            <w:r>
              <w:rPr>
                <w:rFonts w:hint="eastAsia" w:ascii="宋体" w:hAnsi="宋体"/>
                <w:sz w:val="18"/>
                <w:szCs w:val="18"/>
              </w:rPr>
              <w:t>中国银行长沙市芙蓉支行营业部</w:t>
            </w:r>
          </w:p>
          <w:p>
            <w:pPr>
              <w:jc w:val="left"/>
              <w:rPr>
                <w:rFonts w:ascii="宋体" w:hAnsi="宋体"/>
                <w:bCs/>
                <w:sz w:val="18"/>
                <w:szCs w:val="18"/>
              </w:rPr>
            </w:pPr>
            <w:r>
              <w:rPr>
                <w:rFonts w:hint="eastAsia" w:ascii="宋体" w:hAnsi="宋体"/>
                <w:b/>
                <w:bCs w:val="0"/>
                <w:sz w:val="18"/>
                <w:szCs w:val="18"/>
              </w:rPr>
              <w:t>(转账时，请必须写明项目名称及投标包件号)</w:t>
            </w:r>
          </w:p>
        </w:tc>
      </w:tr>
    </w:tbl>
    <w:p>
      <w:pPr>
        <w:pStyle w:val="3"/>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rPr>
          <w:rFonts w:hint="eastAsia"/>
          <w:kern w:val="0"/>
        </w:rPr>
      </w:pPr>
    </w:p>
    <w:p>
      <w:pPr>
        <w:pStyle w:val="3"/>
        <w:rPr>
          <w:rFonts w:hint="eastAsia" w:cs="宋体"/>
          <w:b w:val="0"/>
          <w:kern w:val="0"/>
          <w:sz w:val="36"/>
          <w:szCs w:val="36"/>
        </w:rPr>
      </w:pPr>
      <w:bookmarkStart w:id="21" w:name="_Toc3122"/>
      <w:r>
        <w:rPr>
          <w:rFonts w:hint="eastAsia"/>
          <w:kern w:val="0"/>
        </w:rPr>
        <w:t>附表</w:t>
      </w:r>
      <w:r>
        <w:rPr>
          <w:kern w:val="0"/>
        </w:rPr>
        <w:t>2</w:t>
      </w:r>
      <w:r>
        <w:rPr>
          <w:rFonts w:hint="eastAsia"/>
          <w:kern w:val="0"/>
        </w:rPr>
        <w:t>：投标申请表</w:t>
      </w:r>
      <w:bookmarkEnd w:id="21"/>
    </w:p>
    <w:p>
      <w:pPr>
        <w:widowControl/>
        <w:shd w:val="clear" w:color="auto" w:fill="FFFFFF"/>
        <w:spacing w:line="360" w:lineRule="auto"/>
        <w:ind w:firstLine="420"/>
        <w:jc w:val="center"/>
        <w:rPr>
          <w:rFonts w:cs="宋体"/>
          <w:b/>
          <w:kern w:val="0"/>
          <w:sz w:val="36"/>
          <w:szCs w:val="36"/>
        </w:rPr>
      </w:pPr>
      <w:r>
        <w:rPr>
          <w:rFonts w:hint="eastAsia" w:cs="宋体"/>
          <w:b/>
          <w:kern w:val="0"/>
          <w:sz w:val="36"/>
          <w:szCs w:val="36"/>
        </w:rPr>
        <w:t>投</w:t>
      </w:r>
      <w:r>
        <w:rPr>
          <w:rFonts w:cs="宋体"/>
          <w:b/>
          <w:kern w:val="0"/>
          <w:sz w:val="36"/>
          <w:szCs w:val="36"/>
        </w:rPr>
        <w:t xml:space="preserve"> </w:t>
      </w:r>
      <w:r>
        <w:rPr>
          <w:rFonts w:hint="eastAsia" w:cs="宋体"/>
          <w:b/>
          <w:kern w:val="0"/>
          <w:sz w:val="36"/>
          <w:szCs w:val="36"/>
        </w:rPr>
        <w:t>标</w:t>
      </w:r>
      <w:r>
        <w:rPr>
          <w:rFonts w:cs="宋体"/>
          <w:b/>
          <w:kern w:val="0"/>
          <w:sz w:val="36"/>
          <w:szCs w:val="36"/>
        </w:rPr>
        <w:t xml:space="preserve"> </w:t>
      </w:r>
      <w:r>
        <w:rPr>
          <w:rFonts w:hint="eastAsia" w:cs="宋体"/>
          <w:b/>
          <w:kern w:val="0"/>
          <w:sz w:val="36"/>
          <w:szCs w:val="36"/>
        </w:rPr>
        <w:t>申</w:t>
      </w:r>
      <w:r>
        <w:rPr>
          <w:rFonts w:cs="宋体"/>
          <w:b/>
          <w:kern w:val="0"/>
          <w:sz w:val="36"/>
          <w:szCs w:val="36"/>
        </w:rPr>
        <w:t xml:space="preserve"> </w:t>
      </w:r>
      <w:r>
        <w:rPr>
          <w:rFonts w:hint="eastAsia" w:cs="宋体"/>
          <w:b/>
          <w:kern w:val="0"/>
          <w:sz w:val="36"/>
          <w:szCs w:val="36"/>
        </w:rPr>
        <w:t>请</w:t>
      </w:r>
      <w:r>
        <w:rPr>
          <w:rFonts w:cs="宋体"/>
          <w:b/>
          <w:kern w:val="0"/>
          <w:sz w:val="36"/>
          <w:szCs w:val="36"/>
        </w:rPr>
        <w:t xml:space="preserve"> </w:t>
      </w:r>
      <w:r>
        <w:rPr>
          <w:rFonts w:hint="eastAsia" w:cs="宋体"/>
          <w:b/>
          <w:kern w:val="0"/>
          <w:sz w:val="36"/>
          <w:szCs w:val="36"/>
        </w:rPr>
        <w:t>表</w:t>
      </w:r>
    </w:p>
    <w:p>
      <w:pPr>
        <w:widowControl/>
        <w:shd w:val="clear" w:color="auto" w:fill="FFFFFF"/>
        <w:spacing w:line="360" w:lineRule="auto"/>
        <w:ind w:firstLine="420"/>
        <w:jc w:val="center"/>
        <w:rPr>
          <w:rFonts w:hint="default" w:eastAsia="宋体" w:cs="宋体"/>
          <w:kern w:val="0"/>
          <w:sz w:val="24"/>
          <w:lang w:val="en-US" w:eastAsia="zh-CN"/>
        </w:rPr>
      </w:pPr>
      <w:r>
        <w:rPr>
          <w:rFonts w:hint="eastAsia" w:cs="宋体"/>
          <w:kern w:val="0"/>
          <w:sz w:val="24"/>
        </w:rPr>
        <w:t>招标编号：</w:t>
      </w:r>
      <w:r>
        <w:rPr>
          <w:rFonts w:hint="eastAsia" w:cs="宋体"/>
          <w:kern w:val="0"/>
          <w:sz w:val="24"/>
          <w:lang w:val="en-US" w:eastAsia="zh-CN"/>
        </w:rPr>
        <w:t>WZ-DS-2020-182</w:t>
      </w:r>
    </w:p>
    <w:tbl>
      <w:tblPr>
        <w:tblStyle w:val="4"/>
        <w:tblW w:w="0" w:type="auto"/>
        <w:tblInd w:w="16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tcBorders>
              <w:top w:val="single" w:color="auto" w:sz="8" w:space="0"/>
            </w:tcBorders>
            <w:noWrap w:val="0"/>
            <w:vAlign w:val="center"/>
          </w:tcPr>
          <w:p>
            <w:pPr>
              <w:widowControl/>
              <w:shd w:val="clear" w:color="auto" w:fill="FFFFFF"/>
              <w:spacing w:line="360" w:lineRule="auto"/>
              <w:ind w:firstLine="420"/>
              <w:jc w:val="left"/>
              <w:rPr>
                <w:rFonts w:cs="宋体"/>
                <w:kern w:val="0"/>
                <w:sz w:val="24"/>
              </w:rPr>
            </w:pPr>
            <w:r>
              <w:rPr>
                <w:rFonts w:hint="eastAsia" w:cs="宋体"/>
                <w:kern w:val="0"/>
                <w:sz w:val="24"/>
              </w:rPr>
              <w:t>投标项目名称</w:t>
            </w:r>
          </w:p>
        </w:tc>
        <w:tc>
          <w:tcPr>
            <w:tcW w:w="6577" w:type="dxa"/>
            <w:gridSpan w:val="3"/>
            <w:tcBorders>
              <w:top w:val="single" w:color="auto" w:sz="8" w:space="0"/>
            </w:tcBorders>
            <w:noWrap w:val="0"/>
            <w:vAlign w:val="center"/>
          </w:tcPr>
          <w:p>
            <w:pPr>
              <w:widowControl/>
              <w:shd w:val="clear" w:color="auto" w:fill="FFFFFF"/>
              <w:spacing w:line="360" w:lineRule="auto"/>
              <w:ind w:firstLine="420"/>
              <w:jc w:val="left"/>
              <w:rPr>
                <w:rFonts w:hint="eastAsia"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tcBorders>
              <w:top w:val="single" w:color="auto" w:sz="8" w:space="0"/>
            </w:tcBorders>
            <w:noWrap w:val="0"/>
            <w:vAlign w:val="center"/>
          </w:tcPr>
          <w:p>
            <w:pPr>
              <w:widowControl/>
              <w:shd w:val="clear" w:color="auto" w:fill="FFFFFF"/>
              <w:spacing w:line="360" w:lineRule="auto"/>
              <w:ind w:firstLine="420"/>
              <w:jc w:val="left"/>
              <w:rPr>
                <w:rFonts w:cs="宋体"/>
                <w:kern w:val="0"/>
                <w:sz w:val="24"/>
              </w:rPr>
            </w:pPr>
            <w:r>
              <w:rPr>
                <w:rFonts w:hint="eastAsia" w:cs="宋体"/>
                <w:kern w:val="0"/>
                <w:sz w:val="24"/>
              </w:rPr>
              <w:t>投标人名称</w:t>
            </w:r>
          </w:p>
        </w:tc>
        <w:tc>
          <w:tcPr>
            <w:tcW w:w="6577" w:type="dxa"/>
            <w:gridSpan w:val="3"/>
            <w:tcBorders>
              <w:top w:val="single" w:color="auto" w:sz="8" w:space="0"/>
            </w:tcBorders>
            <w:noWrap w:val="0"/>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noWrap w:val="0"/>
            <w:vAlign w:val="center"/>
          </w:tcPr>
          <w:p>
            <w:pPr>
              <w:widowControl/>
              <w:shd w:val="clear" w:color="auto" w:fill="FFFFFF"/>
              <w:spacing w:line="360" w:lineRule="auto"/>
              <w:jc w:val="left"/>
              <w:rPr>
                <w:rFonts w:cs="宋体"/>
                <w:kern w:val="0"/>
                <w:sz w:val="24"/>
              </w:rPr>
            </w:pPr>
            <w:r>
              <w:rPr>
                <w:rFonts w:hint="eastAsia" w:cs="宋体"/>
                <w:kern w:val="0"/>
                <w:sz w:val="24"/>
              </w:rPr>
              <w:t>投标人联系地址</w:t>
            </w:r>
          </w:p>
        </w:tc>
        <w:tc>
          <w:tcPr>
            <w:tcW w:w="6577" w:type="dxa"/>
            <w:gridSpan w:val="3"/>
            <w:noWrap w:val="0"/>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noWrap w:val="0"/>
            <w:vAlign w:val="center"/>
          </w:tcPr>
          <w:p>
            <w:pPr>
              <w:widowControl/>
              <w:shd w:val="clear" w:color="auto" w:fill="FFFFFF"/>
              <w:spacing w:line="360" w:lineRule="auto"/>
              <w:ind w:firstLine="420"/>
              <w:jc w:val="left"/>
              <w:rPr>
                <w:rFonts w:cs="宋体"/>
                <w:kern w:val="0"/>
                <w:sz w:val="24"/>
              </w:rPr>
            </w:pPr>
            <w:r>
              <w:rPr>
                <w:rFonts w:hint="eastAsia" w:cs="宋体"/>
                <w:kern w:val="0"/>
                <w:sz w:val="24"/>
              </w:rPr>
              <w:t>法定代表人</w:t>
            </w:r>
          </w:p>
        </w:tc>
        <w:tc>
          <w:tcPr>
            <w:tcW w:w="2431" w:type="dxa"/>
            <w:noWrap w:val="0"/>
            <w:vAlign w:val="center"/>
          </w:tcPr>
          <w:p>
            <w:pPr>
              <w:widowControl/>
              <w:shd w:val="clear" w:color="auto" w:fill="FFFFFF"/>
              <w:spacing w:line="360" w:lineRule="auto"/>
              <w:ind w:firstLine="420"/>
              <w:jc w:val="left"/>
              <w:rPr>
                <w:rFonts w:cs="宋体"/>
                <w:kern w:val="0"/>
                <w:sz w:val="24"/>
              </w:rPr>
            </w:pPr>
          </w:p>
        </w:tc>
        <w:tc>
          <w:tcPr>
            <w:tcW w:w="1747" w:type="dxa"/>
            <w:noWrap w:val="0"/>
            <w:vAlign w:val="center"/>
          </w:tcPr>
          <w:p>
            <w:pPr>
              <w:widowControl/>
              <w:shd w:val="clear" w:color="auto" w:fill="FFFFFF"/>
              <w:spacing w:line="360" w:lineRule="auto"/>
              <w:jc w:val="left"/>
              <w:rPr>
                <w:rFonts w:cs="宋体"/>
                <w:kern w:val="0"/>
                <w:sz w:val="24"/>
              </w:rPr>
            </w:pPr>
            <w:r>
              <w:rPr>
                <w:rFonts w:hint="eastAsia" w:cs="宋体"/>
                <w:kern w:val="0"/>
                <w:sz w:val="24"/>
              </w:rPr>
              <w:t>法人委托人</w:t>
            </w:r>
          </w:p>
        </w:tc>
        <w:tc>
          <w:tcPr>
            <w:tcW w:w="2399" w:type="dxa"/>
            <w:noWrap w:val="0"/>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noWrap w:val="0"/>
            <w:vAlign w:val="center"/>
          </w:tcPr>
          <w:p>
            <w:pPr>
              <w:widowControl/>
              <w:shd w:val="clear" w:color="auto" w:fill="FFFFFF"/>
              <w:spacing w:line="360" w:lineRule="auto"/>
              <w:ind w:firstLine="420"/>
              <w:jc w:val="left"/>
              <w:rPr>
                <w:rFonts w:cs="宋体"/>
                <w:kern w:val="0"/>
                <w:sz w:val="24"/>
              </w:rPr>
            </w:pPr>
            <w:r>
              <w:rPr>
                <w:rFonts w:hint="eastAsia" w:cs="宋体"/>
                <w:kern w:val="0"/>
                <w:sz w:val="24"/>
              </w:rPr>
              <w:t>投标联系人</w:t>
            </w:r>
          </w:p>
        </w:tc>
        <w:tc>
          <w:tcPr>
            <w:tcW w:w="2431" w:type="dxa"/>
            <w:noWrap w:val="0"/>
            <w:vAlign w:val="center"/>
          </w:tcPr>
          <w:p>
            <w:pPr>
              <w:widowControl/>
              <w:shd w:val="clear" w:color="auto" w:fill="FFFFFF"/>
              <w:spacing w:line="360" w:lineRule="auto"/>
              <w:ind w:firstLine="420"/>
              <w:jc w:val="left"/>
              <w:rPr>
                <w:rFonts w:cs="宋体"/>
                <w:kern w:val="0"/>
                <w:sz w:val="24"/>
              </w:rPr>
            </w:pPr>
          </w:p>
        </w:tc>
        <w:tc>
          <w:tcPr>
            <w:tcW w:w="1747" w:type="dxa"/>
            <w:noWrap w:val="0"/>
            <w:vAlign w:val="center"/>
          </w:tcPr>
          <w:p>
            <w:pPr>
              <w:widowControl/>
              <w:shd w:val="clear" w:color="auto" w:fill="FFFFFF"/>
              <w:spacing w:line="360" w:lineRule="auto"/>
              <w:jc w:val="left"/>
              <w:rPr>
                <w:rFonts w:cs="宋体"/>
                <w:kern w:val="0"/>
                <w:sz w:val="24"/>
              </w:rPr>
            </w:pPr>
            <w:r>
              <w:rPr>
                <w:rFonts w:hint="eastAsia" w:cs="宋体"/>
                <w:kern w:val="0"/>
                <w:sz w:val="24"/>
              </w:rPr>
              <w:t>联系电话</w:t>
            </w:r>
          </w:p>
        </w:tc>
        <w:tc>
          <w:tcPr>
            <w:tcW w:w="2399" w:type="dxa"/>
            <w:noWrap w:val="0"/>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noWrap w:val="0"/>
            <w:vAlign w:val="center"/>
          </w:tcPr>
          <w:p>
            <w:pPr>
              <w:widowControl/>
              <w:shd w:val="clear" w:color="auto" w:fill="FFFFFF"/>
              <w:spacing w:line="360" w:lineRule="auto"/>
              <w:ind w:firstLine="420"/>
              <w:jc w:val="left"/>
              <w:rPr>
                <w:rFonts w:cs="宋体"/>
                <w:kern w:val="0"/>
                <w:sz w:val="24"/>
              </w:rPr>
            </w:pPr>
            <w:r>
              <w:rPr>
                <w:rFonts w:hint="eastAsia" w:cs="宋体"/>
                <w:kern w:val="0"/>
                <w:sz w:val="24"/>
              </w:rPr>
              <w:t>传</w:t>
            </w:r>
            <w:r>
              <w:rPr>
                <w:rFonts w:cs="宋体"/>
                <w:kern w:val="0"/>
                <w:sz w:val="24"/>
              </w:rPr>
              <w:t xml:space="preserve">  </w:t>
            </w:r>
            <w:r>
              <w:rPr>
                <w:rFonts w:hint="eastAsia" w:cs="宋体"/>
                <w:kern w:val="0"/>
                <w:sz w:val="24"/>
              </w:rPr>
              <w:t>真</w:t>
            </w:r>
          </w:p>
        </w:tc>
        <w:tc>
          <w:tcPr>
            <w:tcW w:w="2431" w:type="dxa"/>
            <w:noWrap w:val="0"/>
            <w:vAlign w:val="center"/>
          </w:tcPr>
          <w:p>
            <w:pPr>
              <w:widowControl/>
              <w:shd w:val="clear" w:color="auto" w:fill="FFFFFF"/>
              <w:spacing w:line="360" w:lineRule="auto"/>
              <w:ind w:firstLine="420"/>
              <w:jc w:val="left"/>
              <w:rPr>
                <w:rFonts w:cs="宋体"/>
                <w:kern w:val="0"/>
                <w:sz w:val="24"/>
              </w:rPr>
            </w:pPr>
          </w:p>
        </w:tc>
        <w:tc>
          <w:tcPr>
            <w:tcW w:w="1747" w:type="dxa"/>
            <w:noWrap w:val="0"/>
            <w:vAlign w:val="center"/>
          </w:tcPr>
          <w:p>
            <w:pPr>
              <w:widowControl/>
              <w:shd w:val="clear" w:color="auto" w:fill="FFFFFF"/>
              <w:spacing w:line="360" w:lineRule="auto"/>
              <w:jc w:val="left"/>
              <w:rPr>
                <w:rFonts w:cs="宋体"/>
                <w:kern w:val="0"/>
                <w:sz w:val="24"/>
              </w:rPr>
            </w:pPr>
            <w:r>
              <w:rPr>
                <w:rFonts w:hint="eastAsia" w:cs="宋体"/>
                <w:kern w:val="0"/>
                <w:sz w:val="24"/>
              </w:rPr>
              <w:t>电子邮箱（必填）</w:t>
            </w:r>
          </w:p>
        </w:tc>
        <w:tc>
          <w:tcPr>
            <w:tcW w:w="2399" w:type="dxa"/>
            <w:noWrap w:val="0"/>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859" w:type="dxa"/>
            <w:gridSpan w:val="4"/>
            <w:tcBorders>
              <w:bottom w:val="single" w:color="auto" w:sz="8" w:space="0"/>
            </w:tcBorders>
            <w:noWrap w:val="0"/>
            <w:vAlign w:val="center"/>
          </w:tcPr>
          <w:p>
            <w:pPr>
              <w:widowControl/>
              <w:shd w:val="clear" w:color="auto" w:fill="FFFFFF"/>
              <w:spacing w:line="360" w:lineRule="auto"/>
              <w:ind w:firstLine="420"/>
              <w:jc w:val="left"/>
              <w:rPr>
                <w:rFonts w:cs="宋体"/>
                <w:kern w:val="0"/>
                <w:sz w:val="24"/>
              </w:rPr>
            </w:pPr>
            <w:r>
              <w:rPr>
                <w:rFonts w:cs="宋体"/>
                <w:kern w:val="0"/>
                <w:sz w:val="24"/>
              </w:rPr>
              <w:t>1.</w:t>
            </w:r>
            <w:r>
              <w:rPr>
                <w:rFonts w:hint="eastAsia" w:cs="宋体"/>
                <w:kern w:val="0"/>
                <w:sz w:val="24"/>
              </w:rPr>
              <w:t>购买招标文件方式：</w:t>
            </w:r>
            <w:r>
              <w:rPr>
                <w:rFonts w:cs="宋体"/>
                <w:kern w:val="0"/>
                <w:sz w:val="24"/>
              </w:rPr>
              <w:t xml:space="preserve">  </w:t>
            </w:r>
            <w:r>
              <w:rPr>
                <w:rFonts w:hint="eastAsia" w:cs="宋体"/>
                <w:kern w:val="0"/>
                <w:sz w:val="24"/>
              </w:rPr>
              <w:t>电子版</w:t>
            </w:r>
            <w:r>
              <w:rPr>
                <w:rFonts w:cs="宋体"/>
                <w:kern w:val="0"/>
                <w:sz w:val="24"/>
              </w:rPr>
              <w:t xml:space="preserve"> </w:t>
            </w:r>
            <w:r>
              <w:rPr>
                <w:rFonts w:hint="eastAsia" w:cs="宋体"/>
                <w:kern w:val="0"/>
                <w:sz w:val="24"/>
              </w:rPr>
              <w:t>□</w:t>
            </w:r>
            <w:r>
              <w:rPr>
                <w:rFonts w:cs="宋体"/>
                <w:kern w:val="0"/>
                <w:sz w:val="24"/>
              </w:rPr>
              <w:t xml:space="preserve">     </w:t>
            </w:r>
            <w:r>
              <w:rPr>
                <w:rFonts w:hint="eastAsia" w:cs="宋体"/>
                <w:kern w:val="0"/>
                <w:sz w:val="24"/>
              </w:rPr>
              <w:t>纸质</w:t>
            </w:r>
            <w:r>
              <w:rPr>
                <w:rFonts w:cs="宋体"/>
                <w:kern w:val="0"/>
                <w:sz w:val="24"/>
              </w:rPr>
              <w:t xml:space="preserve"> </w:t>
            </w:r>
            <w:r>
              <w:rPr>
                <w:rFonts w:hint="eastAsia" w:cs="宋体"/>
                <w:kern w:val="0"/>
                <w:sz w:val="24"/>
              </w:rPr>
              <w:t>□</w:t>
            </w:r>
          </w:p>
          <w:p>
            <w:pPr>
              <w:widowControl/>
              <w:shd w:val="clear" w:color="auto" w:fill="FFFFFF"/>
              <w:spacing w:line="360" w:lineRule="auto"/>
              <w:ind w:firstLine="420"/>
              <w:jc w:val="left"/>
              <w:rPr>
                <w:rFonts w:cs="宋体"/>
                <w:kern w:val="0"/>
                <w:sz w:val="24"/>
              </w:rPr>
            </w:pPr>
          </w:p>
          <w:p>
            <w:pPr>
              <w:widowControl/>
              <w:shd w:val="clear" w:color="auto" w:fill="FFFFFF"/>
              <w:spacing w:line="360" w:lineRule="auto"/>
              <w:ind w:firstLine="420"/>
              <w:jc w:val="left"/>
              <w:rPr>
                <w:rFonts w:cs="宋体"/>
                <w:kern w:val="0"/>
                <w:sz w:val="24"/>
              </w:rPr>
            </w:pPr>
            <w:r>
              <w:rPr>
                <w:rFonts w:cs="宋体"/>
                <w:kern w:val="0"/>
                <w:sz w:val="24"/>
              </w:rPr>
              <w:t>2.</w:t>
            </w:r>
            <w:r>
              <w:rPr>
                <w:rFonts w:hint="eastAsia" w:cs="宋体"/>
                <w:kern w:val="0"/>
                <w:sz w:val="24"/>
              </w:rPr>
              <w:t>申请投标包件：</w:t>
            </w:r>
          </w:p>
          <w:p>
            <w:pPr>
              <w:widowControl/>
              <w:shd w:val="clear" w:color="auto" w:fill="FFFFFF"/>
              <w:spacing w:line="360" w:lineRule="auto"/>
              <w:ind w:firstLine="420"/>
              <w:jc w:val="left"/>
              <w:rPr>
                <w:rFonts w:hint="eastAsia" w:cs="宋体"/>
                <w:kern w:val="0"/>
                <w:sz w:val="24"/>
              </w:rPr>
            </w:pPr>
            <w:r>
              <w:rPr>
                <w:rFonts w:hint="eastAsia" w:cs="宋体"/>
                <w:kern w:val="0"/>
                <w:sz w:val="24"/>
              </w:rPr>
              <w:t>A-01（</w:t>
            </w:r>
            <w:r>
              <w:rPr>
                <w:rFonts w:hint="eastAsia" w:cs="宋体"/>
                <w:kern w:val="0"/>
                <w:sz w:val="24"/>
                <w:lang w:val="en-US" w:eastAsia="zh-CN"/>
              </w:rPr>
              <w:t>株洲站改扩建工程</w:t>
            </w:r>
            <w:r>
              <w:rPr>
                <w:rFonts w:hint="eastAsia" w:cs="宋体"/>
                <w:kern w:val="0"/>
                <w:sz w:val="24"/>
              </w:rPr>
              <w:t>），</w:t>
            </w:r>
            <w:r>
              <w:rPr>
                <w:rFonts w:hint="eastAsia" w:cs="宋体"/>
                <w:kern w:val="0"/>
                <w:sz w:val="24"/>
                <w:lang w:val="en-US" w:eastAsia="zh-CN"/>
              </w:rPr>
              <w:t>电力电缆</w:t>
            </w:r>
            <w:r>
              <w:rPr>
                <w:rFonts w:hint="eastAsia" w:cs="宋体"/>
                <w:kern w:val="0"/>
                <w:sz w:val="24"/>
              </w:rPr>
              <w:t>（    ）</w:t>
            </w:r>
          </w:p>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需选择包件</w:t>
            </w:r>
          </w:p>
          <w:p>
            <w:pPr>
              <w:widowControl/>
              <w:shd w:val="clear" w:color="auto" w:fill="FFFFFF"/>
              <w:spacing w:line="360" w:lineRule="auto"/>
              <w:ind w:firstLine="420"/>
              <w:jc w:val="left"/>
              <w:rPr>
                <w:rFonts w:cs="宋体"/>
                <w:kern w:val="0"/>
                <w:sz w:val="24"/>
              </w:rPr>
            </w:pPr>
          </w:p>
          <w:p>
            <w:pPr>
              <w:widowControl/>
              <w:shd w:val="clear" w:color="auto" w:fill="FFFFFF"/>
              <w:spacing w:line="360" w:lineRule="auto"/>
              <w:ind w:firstLine="420"/>
              <w:jc w:val="left"/>
              <w:rPr>
                <w:rFonts w:cs="宋体"/>
                <w:kern w:val="0"/>
                <w:sz w:val="24"/>
              </w:rPr>
            </w:pPr>
            <w:r>
              <w:rPr>
                <w:rFonts w:cs="宋体"/>
                <w:kern w:val="0"/>
                <w:sz w:val="24"/>
              </w:rPr>
              <w:t>3.</w:t>
            </w:r>
            <w:r>
              <w:rPr>
                <w:rFonts w:hint="eastAsia" w:cs="宋体"/>
                <w:kern w:val="0"/>
                <w:sz w:val="24"/>
              </w:rPr>
              <w:t>其它说明：</w:t>
            </w:r>
          </w:p>
          <w:p>
            <w:pPr>
              <w:widowControl/>
              <w:shd w:val="clear" w:color="auto" w:fill="FFFFFF"/>
              <w:spacing w:line="360" w:lineRule="auto"/>
              <w:jc w:val="left"/>
              <w:rPr>
                <w:rFonts w:cs="宋体"/>
                <w:kern w:val="0"/>
                <w:sz w:val="24"/>
              </w:rPr>
            </w:pPr>
          </w:p>
          <w:p>
            <w:pPr>
              <w:widowControl/>
              <w:shd w:val="clear" w:color="auto" w:fill="FFFFFF"/>
              <w:spacing w:line="360" w:lineRule="auto"/>
              <w:jc w:val="left"/>
              <w:rPr>
                <w:rFonts w:cs="宋体"/>
                <w:kern w:val="0"/>
                <w:sz w:val="24"/>
              </w:rPr>
            </w:pPr>
          </w:p>
          <w:p>
            <w:pPr>
              <w:widowControl/>
              <w:shd w:val="clear" w:color="auto" w:fill="FFFFFF"/>
              <w:spacing w:line="360" w:lineRule="auto"/>
              <w:jc w:val="left"/>
              <w:rPr>
                <w:rFonts w:cs="宋体"/>
                <w:kern w:val="0"/>
                <w:sz w:val="24"/>
              </w:rPr>
            </w:pPr>
          </w:p>
          <w:p>
            <w:pPr>
              <w:widowControl/>
              <w:shd w:val="clear" w:color="auto" w:fill="FFFFFF"/>
              <w:spacing w:line="360" w:lineRule="auto"/>
              <w:jc w:val="left"/>
              <w:rPr>
                <w:rFonts w:cs="宋体"/>
                <w:kern w:val="0"/>
                <w:sz w:val="24"/>
              </w:rPr>
            </w:pPr>
          </w:p>
          <w:p>
            <w:pPr>
              <w:widowControl/>
              <w:shd w:val="clear" w:color="auto" w:fill="FFFFFF"/>
              <w:spacing w:line="360" w:lineRule="auto"/>
              <w:ind w:firstLine="420"/>
              <w:jc w:val="right"/>
              <w:rPr>
                <w:rFonts w:cs="宋体"/>
                <w:kern w:val="0"/>
                <w:sz w:val="24"/>
              </w:rPr>
            </w:pPr>
            <w:r>
              <w:rPr>
                <w:rFonts w:hint="eastAsia" w:cs="宋体"/>
                <w:kern w:val="0"/>
                <w:sz w:val="24"/>
              </w:rPr>
              <w:t>投标人（公章）</w:t>
            </w:r>
            <w:r>
              <w:rPr>
                <w:rFonts w:cs="宋体"/>
                <w:kern w:val="0"/>
                <w:sz w:val="24"/>
              </w:rPr>
              <w:t xml:space="preserve">                                            </w:t>
            </w:r>
          </w:p>
          <w:p>
            <w:pPr>
              <w:widowControl/>
              <w:shd w:val="clear" w:color="auto" w:fill="FFFFFF"/>
              <w:spacing w:line="360" w:lineRule="auto"/>
              <w:ind w:firstLine="420"/>
              <w:jc w:val="right"/>
              <w:rPr>
                <w:rFonts w:cs="宋体"/>
                <w:kern w:val="0"/>
                <w:sz w:val="24"/>
              </w:rPr>
            </w:pPr>
            <w:r>
              <w:rPr>
                <w:rFonts w:cs="宋体"/>
                <w:kern w:val="0"/>
                <w:sz w:val="24"/>
              </w:rPr>
              <w:t xml:space="preserve"> </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tc>
      </w:tr>
    </w:tbl>
    <w:p>
      <w:pPr>
        <w:rPr>
          <w:rFonts w:hint="eastAsia"/>
        </w:rPr>
      </w:pPr>
      <w:bookmarkStart w:id="22" w:name="_Toc2747"/>
    </w:p>
    <w:p>
      <w:pPr>
        <w:rPr>
          <w:rFonts w:hint="eastAsia"/>
        </w:rPr>
      </w:pPr>
    </w:p>
    <w:p>
      <w:pPr>
        <w:rPr>
          <w:rFonts w:hint="eastAsia"/>
        </w:rPr>
      </w:pPr>
    </w:p>
    <w:p>
      <w:pPr>
        <w:rPr>
          <w:rFonts w:hint="eastAsia"/>
        </w:rPr>
      </w:pPr>
    </w:p>
    <w:p>
      <w:pPr>
        <w:rPr>
          <w:rFonts w:hint="eastAsia"/>
        </w:rPr>
      </w:pPr>
    </w:p>
    <w:p>
      <w:pPr>
        <w:pStyle w:val="3"/>
        <w:rPr>
          <w:rFonts w:hint="eastAsia"/>
          <w:kern w:val="0"/>
        </w:rPr>
      </w:pPr>
      <w:bookmarkStart w:id="23" w:name="_GoBack"/>
      <w:bookmarkEnd w:id="23"/>
      <w:r>
        <w:rPr>
          <w:rFonts w:hint="eastAsia"/>
          <w:kern w:val="0"/>
        </w:rPr>
        <w:t>附表3：招标物资种类、数量以及包件划分表</w:t>
      </w:r>
      <w:bookmarkEnd w:id="22"/>
    </w:p>
    <w:p>
      <w:pPr>
        <w:spacing w:line="360" w:lineRule="auto"/>
        <w:jc w:val="left"/>
        <w:rPr>
          <w:rFonts w:hint="eastAsia" w:ascii="宋体" w:hAnsi="宋体"/>
          <w:szCs w:val="21"/>
        </w:rPr>
      </w:pPr>
      <w:r>
        <w:rPr>
          <w:rFonts w:hint="eastAsia" w:ascii="宋体" w:hAnsi="宋体"/>
          <w:szCs w:val="21"/>
        </w:rPr>
        <w:t>须知：以下招标物资种类，若有与《中国中铁采购电子商务平台》上规格、型号、数量等数据表述不一致的，以招标文件上载明的规格、型号、数量等数据为准。</w:t>
      </w:r>
    </w:p>
    <w:tbl>
      <w:tblPr>
        <w:tblStyle w:val="4"/>
        <w:tblW w:w="9520" w:type="dxa"/>
        <w:tblInd w:w="0" w:type="dxa"/>
        <w:tblLayout w:type="fixed"/>
        <w:tblCellMar>
          <w:top w:w="0" w:type="dxa"/>
          <w:left w:w="0" w:type="dxa"/>
          <w:bottom w:w="0" w:type="dxa"/>
          <w:right w:w="0" w:type="dxa"/>
        </w:tblCellMar>
      </w:tblPr>
      <w:tblGrid>
        <w:gridCol w:w="582"/>
        <w:gridCol w:w="1425"/>
        <w:gridCol w:w="1687"/>
        <w:gridCol w:w="563"/>
        <w:gridCol w:w="800"/>
        <w:gridCol w:w="1600"/>
        <w:gridCol w:w="2137"/>
        <w:gridCol w:w="726"/>
      </w:tblGrid>
      <w:tr>
        <w:tblPrEx>
          <w:tblCellMar>
            <w:top w:w="0" w:type="dxa"/>
            <w:left w:w="0" w:type="dxa"/>
            <w:bottom w:w="0" w:type="dxa"/>
            <w:right w:w="0" w:type="dxa"/>
          </w:tblCellMar>
        </w:tblPrEx>
        <w:trPr>
          <w:trHeight w:val="68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包件编号</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招标物资名称</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计划交货日期</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交货地点</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BBTRZ-3*150+2*70</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BBTRZ-3*70+2*35</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BBTRZ-3*95+2*50</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BBTRZ-5*10</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BBTRZ-5*16</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WDZB-YJY-5*16</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WDZB-BPYJYP1-2-3*70+3*10</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WDZBN-YJY-3*10</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WDZBN-YJY-3*120+2*70</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WDZBN-YJY-3*2.5</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WDZBN-YJY-3*25+2*16</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WDZBN-YJY-3*35+2*16</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WDZBN-YJY-3*4</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WDZBN-YJY-3*50+2*25</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1056</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WDZBN-YJY-3*6</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WDZBN-YJY-3*70+2*35</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WDZBN-YJY-3*95+2*50</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3464</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WDZBN-YJY-5*10</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2487</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WDZBN-YJY-5*16</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WDZBN-YJY-5*4</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WDZBN-YJY-5*6</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3556</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WDZB-YJY-3*25+2*16</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A-01</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WDZBN-YJY-3x240+2x120</w:t>
            </w:r>
          </w:p>
        </w:tc>
        <w:tc>
          <w:tcPr>
            <w:tcW w:w="5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2020年12月至2022年12月</w:t>
            </w:r>
          </w:p>
        </w:tc>
        <w:tc>
          <w:tcPr>
            <w:tcW w:w="2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湖南省株洲火车站株洲站改扩建工程项目</w:t>
            </w:r>
          </w:p>
        </w:tc>
        <w:tc>
          <w:tcPr>
            <w:tcW w:w="7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20555</w:t>
            </w:r>
          </w:p>
        </w:tc>
        <w:tc>
          <w:tcPr>
            <w:tcW w:w="1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rPr>
      </w:pPr>
    </w:p>
    <w:p>
      <w:pPr>
        <w:rPr>
          <w:rFonts w:hint="eastAsia"/>
          <w:color w:val="FF0000"/>
        </w:rPr>
      </w:pPr>
      <w:r>
        <w:rPr>
          <w:rFonts w:hint="eastAsia"/>
          <w:color w:val="FF0000"/>
        </w:rPr>
        <w:t>备注：</w:t>
      </w:r>
      <w:r>
        <w:rPr>
          <w:rFonts w:hint="eastAsia"/>
          <w:color w:val="FF0000"/>
        </w:rPr>
        <w:tab/>
      </w:r>
    </w:p>
    <w:p>
      <w:pPr>
        <w:rPr>
          <w:rFonts w:hint="eastAsia" w:eastAsia="宋体"/>
          <w:color w:val="FF0000"/>
          <w:lang w:eastAsia="zh-CN"/>
        </w:rPr>
      </w:pPr>
      <w:r>
        <w:rPr>
          <w:rFonts w:hint="eastAsia"/>
          <w:color w:val="FF0000"/>
          <w:lang w:val="en-US" w:eastAsia="zh-CN"/>
        </w:rPr>
        <w:t>1：</w:t>
      </w:r>
      <w:r>
        <w:rPr>
          <w:rFonts w:hint="eastAsia"/>
          <w:color w:val="FF0000"/>
        </w:rPr>
        <w:t>电缆招标需求为初步设计数量和采购规格，其实际需求数量及规格以供货计划为准。暂定交货时间为2020年</w:t>
      </w:r>
      <w:r>
        <w:rPr>
          <w:rFonts w:hint="eastAsia"/>
          <w:color w:val="FF0000"/>
          <w:lang w:val="en-US" w:eastAsia="zh-CN"/>
        </w:rPr>
        <w:t>12</w:t>
      </w:r>
      <w:r>
        <w:rPr>
          <w:rFonts w:hint="eastAsia"/>
          <w:color w:val="FF0000"/>
        </w:rPr>
        <w:t>月至</w:t>
      </w:r>
      <w:r>
        <w:rPr>
          <w:rFonts w:hint="eastAsia"/>
          <w:color w:val="FF0000"/>
          <w:lang w:val="en-US" w:eastAsia="zh-CN"/>
        </w:rPr>
        <w:t>2022年12月</w:t>
      </w:r>
      <w:r>
        <w:rPr>
          <w:rFonts w:hint="eastAsia"/>
          <w:color w:val="FF0000"/>
        </w:rPr>
        <w:t>为止。交货地点为</w:t>
      </w:r>
      <w:r>
        <w:rPr>
          <w:rFonts w:hint="eastAsia"/>
          <w:color w:val="FF0000"/>
          <w:lang w:val="en-US" w:eastAsia="zh-CN"/>
        </w:rPr>
        <w:t>株洲站改扩建工程项目现场</w:t>
      </w:r>
      <w:r>
        <w:rPr>
          <w:rFonts w:hint="eastAsia"/>
          <w:color w:val="FF0000"/>
        </w:rPr>
        <w:t>。 图纸联系项目联系人（</w:t>
      </w:r>
      <w:r>
        <w:rPr>
          <w:rFonts w:hint="eastAsia"/>
          <w:color w:val="FF0000"/>
          <w:lang w:val="en-US" w:eastAsia="zh-CN"/>
        </w:rPr>
        <w:t>古国栋13257088489</w:t>
      </w:r>
      <w:r>
        <w:rPr>
          <w:rFonts w:hint="eastAsia"/>
          <w:color w:val="FF0000"/>
        </w:rPr>
        <w:t>）获取</w:t>
      </w:r>
      <w:r>
        <w:rPr>
          <w:rFonts w:hint="eastAsia"/>
          <w:color w:val="FF0000"/>
          <w:lang w:eastAsia="zh-CN"/>
        </w:rPr>
        <w:t>。</w:t>
      </w:r>
    </w:p>
    <w:p>
      <w:pPr>
        <w:pStyle w:val="2"/>
        <w:numPr>
          <w:ilvl w:val="0"/>
          <w:numId w:val="0"/>
        </w:numPr>
        <w:spacing w:before="120" w:after="120" w:line="500" w:lineRule="exact"/>
        <w:jc w:val="both"/>
        <w:rPr>
          <w:rFonts w:hint="eastAsia"/>
          <w:b w:val="0"/>
          <w:bCs w:val="0"/>
          <w:color w:val="FF0000"/>
          <w:kern w:val="2"/>
          <w:sz w:val="21"/>
          <w:szCs w:val="24"/>
        </w:rPr>
      </w:pPr>
      <w:r>
        <w:rPr>
          <w:rFonts w:hint="eastAsia"/>
          <w:b w:val="0"/>
          <w:bCs w:val="0"/>
          <w:color w:val="FF0000"/>
          <w:kern w:val="2"/>
          <w:sz w:val="21"/>
          <w:szCs w:val="24"/>
          <w:lang w:val="en-US" w:eastAsia="zh-CN"/>
        </w:rPr>
        <w:t>2：</w:t>
      </w:r>
      <w:r>
        <w:rPr>
          <w:rFonts w:hint="eastAsia"/>
          <w:b w:val="0"/>
          <w:bCs w:val="0"/>
          <w:color w:val="FF0000"/>
          <w:kern w:val="2"/>
          <w:sz w:val="21"/>
          <w:szCs w:val="24"/>
        </w:rPr>
        <w:t>供应方需依据电缆明细表安排电缆配盘，并在电缆供应同时提供配盘表。</w:t>
      </w:r>
    </w:p>
    <w:p>
      <w:pPr>
        <w:adjustRightInd w:val="0"/>
        <w:snapToGrid w:val="0"/>
        <w:spacing w:line="360" w:lineRule="auto"/>
        <w:rPr>
          <w:rFonts w:hint="default" w:ascii="Arial" w:hAnsi="Arial" w:eastAsia="黑体"/>
          <w:b/>
          <w:bCs/>
          <w:kern w:val="0"/>
          <w:sz w:val="28"/>
          <w:szCs w:val="32"/>
          <w:lang w:val="en-US" w:eastAsia="zh-CN" w:bidi="ar-SA"/>
        </w:rPr>
      </w:pPr>
      <w:r>
        <w:rPr>
          <w:rFonts w:hint="eastAsia"/>
          <w:b w:val="0"/>
          <w:bCs w:val="0"/>
          <w:color w:val="FF0000"/>
          <w:kern w:val="2"/>
          <w:sz w:val="21"/>
          <w:szCs w:val="24"/>
          <w:lang w:val="en-US" w:eastAsia="zh-CN"/>
        </w:rPr>
        <w:t>3：</w:t>
      </w:r>
      <w:r>
        <w:rPr>
          <w:rFonts w:hint="eastAsia"/>
          <w:b w:val="0"/>
          <w:bCs w:val="0"/>
          <w:color w:val="FF0000"/>
          <w:kern w:val="2"/>
          <w:sz w:val="21"/>
          <w:szCs w:val="24"/>
        </w:rPr>
        <w:t>电缆电缆进场需提供产品合格证、试验报告、产品说明书等，矿物电缆符合消防产品要求并提供对应资料，每个型号电缆需现场取样送检，送检费用由买方支付。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6D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b/>
      <w:bCs/>
      <w:kern w:val="44"/>
      <w:sz w:val="32"/>
      <w:szCs w:val="44"/>
    </w:rPr>
  </w:style>
  <w:style w:type="paragraph" w:styleId="3">
    <w:name w:val="heading 2"/>
    <w:basedOn w:val="1"/>
    <w:next w:val="1"/>
    <w:qFormat/>
    <w:uiPriority w:val="9"/>
    <w:pPr>
      <w:keepNext/>
      <w:keepLines/>
      <w:spacing w:before="120" w:after="120"/>
      <w:outlineLvl w:val="1"/>
    </w:pPr>
    <w:rPr>
      <w:rFonts w:ascii="Arial" w:hAnsi="Arial" w:eastAsia="黑体"/>
      <w:b/>
      <w:bCs/>
      <w:sz w:val="28"/>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样式 样式 样式 样式 样式 样式 样式 首行缩进:  2 字符 + 首行缩进:  2 字符 + 首行缩进:  2 字符 + 首...3"/>
    <w:basedOn w:val="1"/>
    <w:uiPriority w:val="0"/>
    <w:pPr>
      <w:tabs>
        <w:tab w:val="left" w:pos="4855"/>
      </w:tabs>
      <w:spacing w:line="560" w:lineRule="exact"/>
      <w:ind w:firstLine="560" w:firstLineChars="200"/>
    </w:pPr>
    <w:rPr>
      <w:rFonts w:ascii="仿宋_GB2312" w:hAnsi="宋体" w:eastAsia="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2020-11-10T03:12:40Z</dcterms:created>
  <dc:creator>Administrator</dc:creator>
  <cp:lastModifiedBy>珍珠</cp:lastModifiedBy>
  <dcterms:modified xsi:type="dcterms:W3CDTF">2020-11-10T03:13:13Z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