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widowControl w:val="0"/>
        <w:kinsoku/>
        <w:wordWrap/>
        <w:overflowPunct/>
        <w:topLinePunct w:val="0"/>
        <w:autoSpaceDE/>
        <w:autoSpaceDN/>
        <w:bidi w:val="0"/>
        <w:adjustRightInd/>
        <w:snapToGrid/>
        <w:jc w:val="both"/>
        <w:textAlignment w:val="auto"/>
        <w:rPr>
          <w:rFonts w:hint="eastAsia"/>
          <w:b/>
          <w:bCs/>
          <w:sz w:val="28"/>
          <w:szCs w:val="28"/>
          <w:highlight w:val="none"/>
          <w:lang w:val="en-US" w:eastAsia="zh-CN"/>
        </w:rPr>
      </w:pPr>
      <w:bookmarkStart w:id="1" w:name="_GoBack"/>
      <w:bookmarkStart w:id="0" w:name="_Toc8449"/>
      <w:r>
        <w:rPr>
          <w:rFonts w:hint="eastAsia"/>
          <w:b/>
          <w:bCs/>
          <w:sz w:val="28"/>
          <w:szCs w:val="28"/>
          <w:highlight w:val="none"/>
        </w:rPr>
        <w:t>附件</w:t>
      </w:r>
      <w:r>
        <w:rPr>
          <w:rFonts w:hint="eastAsia"/>
          <w:b/>
          <w:bCs/>
          <w:sz w:val="28"/>
          <w:szCs w:val="28"/>
          <w:highlight w:val="none"/>
          <w:lang w:val="en-US" w:eastAsia="zh-CN"/>
        </w:rPr>
        <w:t>二</w:t>
      </w:r>
      <w:r>
        <w:rPr>
          <w:rFonts w:hint="eastAsia"/>
          <w:b/>
          <w:bCs/>
          <w:sz w:val="28"/>
          <w:szCs w:val="28"/>
          <w:highlight w:val="none"/>
        </w:rPr>
        <w:t>：</w:t>
      </w:r>
      <w:r>
        <w:rPr>
          <w:rFonts w:hint="eastAsia"/>
          <w:b/>
          <w:bCs/>
          <w:sz w:val="28"/>
          <w:szCs w:val="28"/>
          <w:highlight w:val="none"/>
          <w:lang w:val="en-US" w:eastAsia="zh-CN"/>
        </w:rPr>
        <w:t>最高限价及支付条款</w:t>
      </w:r>
      <w:bookmarkEnd w:id="0"/>
    </w:p>
    <w:bookmarkEnd w:id="1"/>
    <w:tbl>
      <w:tblPr>
        <w:tblStyle w:val="7"/>
        <w:tblW w:w="54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17"/>
        <w:gridCol w:w="671"/>
        <w:gridCol w:w="1836"/>
        <w:gridCol w:w="957"/>
        <w:gridCol w:w="2025"/>
        <w:gridCol w:w="2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503" w:type="pct"/>
            <w:noWrap w:val="0"/>
            <w:vAlign w:val="center"/>
          </w:tcPr>
          <w:p>
            <w:pPr>
              <w:jc w:val="center"/>
              <w:textAlignment w:val="center"/>
              <w:rPr>
                <w:rFonts w:hint="eastAsia" w:ascii="宋体" w:hAnsi="宋体" w:cs="宋体"/>
                <w:sz w:val="18"/>
                <w:szCs w:val="18"/>
                <w:highlight w:val="none"/>
              </w:rPr>
            </w:pPr>
            <w:r>
              <w:rPr>
                <w:rFonts w:hint="eastAsia" w:ascii="宋体" w:hAnsi="宋体" w:cs="宋体"/>
                <w:kern w:val="0"/>
                <w:sz w:val="18"/>
                <w:szCs w:val="18"/>
                <w:highlight w:val="none"/>
              </w:rPr>
              <w:t>序号</w:t>
            </w:r>
          </w:p>
        </w:tc>
        <w:tc>
          <w:tcPr>
            <w:tcW w:w="368" w:type="pct"/>
            <w:noWrap w:val="0"/>
            <w:vAlign w:val="center"/>
          </w:tcPr>
          <w:p>
            <w:pPr>
              <w:jc w:val="center"/>
              <w:textAlignment w:val="center"/>
              <w:rPr>
                <w:rFonts w:hint="eastAsia" w:ascii="宋体" w:hAnsi="宋体" w:cs="宋体"/>
                <w:sz w:val="18"/>
                <w:szCs w:val="18"/>
                <w:highlight w:val="none"/>
              </w:rPr>
            </w:pPr>
            <w:r>
              <w:rPr>
                <w:rFonts w:hint="eastAsia" w:ascii="宋体" w:hAnsi="宋体" w:cs="宋体"/>
                <w:kern w:val="0"/>
                <w:sz w:val="18"/>
                <w:szCs w:val="18"/>
                <w:highlight w:val="none"/>
              </w:rPr>
              <w:t>包件号</w:t>
            </w:r>
          </w:p>
        </w:tc>
        <w:tc>
          <w:tcPr>
            <w:tcW w:w="1007" w:type="pct"/>
            <w:noWrap w:val="0"/>
            <w:vAlign w:val="center"/>
          </w:tcPr>
          <w:p>
            <w:pPr>
              <w:jc w:val="center"/>
              <w:textAlignment w:val="center"/>
              <w:rPr>
                <w:rFonts w:hint="eastAsia" w:ascii="宋体" w:hAnsi="宋体" w:cs="宋体"/>
                <w:sz w:val="18"/>
                <w:szCs w:val="18"/>
                <w:highlight w:val="none"/>
              </w:rPr>
            </w:pPr>
            <w:r>
              <w:rPr>
                <w:rFonts w:hint="eastAsia" w:ascii="宋体" w:hAnsi="宋体" w:cs="宋体"/>
                <w:kern w:val="0"/>
                <w:sz w:val="18"/>
                <w:szCs w:val="18"/>
                <w:highlight w:val="none"/>
              </w:rPr>
              <w:t>物资名称</w:t>
            </w:r>
          </w:p>
        </w:tc>
        <w:tc>
          <w:tcPr>
            <w:tcW w:w="525" w:type="pct"/>
            <w:noWrap w:val="0"/>
            <w:vAlign w:val="center"/>
          </w:tcPr>
          <w:p>
            <w:pPr>
              <w:jc w:val="center"/>
              <w:textAlignment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规格型号</w:t>
            </w:r>
          </w:p>
        </w:tc>
        <w:tc>
          <w:tcPr>
            <w:tcW w:w="1111" w:type="pct"/>
            <w:noWrap w:val="0"/>
            <w:vAlign w:val="center"/>
          </w:tcPr>
          <w:p>
            <w:pPr>
              <w:jc w:val="center"/>
              <w:textAlignment w:val="center"/>
              <w:rPr>
                <w:rFonts w:hint="eastAsia"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含税到场最高限价</w:t>
            </w:r>
          </w:p>
          <w:p>
            <w:pPr>
              <w:jc w:val="center"/>
              <w:textAlignment w:val="center"/>
              <w:rPr>
                <w:rFonts w:hint="default"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（万元）</w:t>
            </w:r>
          </w:p>
        </w:tc>
        <w:tc>
          <w:tcPr>
            <w:tcW w:w="1483" w:type="pct"/>
            <w:noWrap w:val="0"/>
            <w:vAlign w:val="center"/>
          </w:tcPr>
          <w:p>
            <w:pPr>
              <w:jc w:val="center"/>
              <w:textAlignment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支付条款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63" w:hRule="atLeast"/>
          <w:jc w:val="center"/>
        </w:trPr>
        <w:tc>
          <w:tcPr>
            <w:tcW w:w="503" w:type="pct"/>
            <w:noWrap w:val="0"/>
            <w:vAlign w:val="center"/>
          </w:tcPr>
          <w:p>
            <w:pPr>
              <w:ind w:firstLine="364"/>
              <w:jc w:val="both"/>
              <w:textAlignment w:val="center"/>
              <w:rPr>
                <w:rFonts w:hint="eastAsia" w:ascii="宋体" w:hAnsi="宋体" w:cs="宋体"/>
                <w:kern w:val="0"/>
                <w:sz w:val="18"/>
                <w:szCs w:val="18"/>
                <w:highlight w:val="none"/>
              </w:rPr>
            </w:pPr>
            <w:r>
              <w:rPr>
                <w:rFonts w:hint="eastAsia" w:ascii="宋体" w:hAnsi="宋体" w:cs="宋体"/>
                <w:kern w:val="0"/>
                <w:sz w:val="18"/>
                <w:szCs w:val="18"/>
                <w:highlight w:val="none"/>
              </w:rPr>
              <w:t>1</w:t>
            </w:r>
          </w:p>
        </w:tc>
        <w:tc>
          <w:tcPr>
            <w:tcW w:w="368" w:type="pct"/>
            <w:noWrap w:val="0"/>
            <w:vAlign w:val="center"/>
          </w:tcPr>
          <w:p>
            <w:pPr>
              <w:jc w:val="center"/>
              <w:textAlignment w:val="center"/>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01</w:t>
            </w:r>
          </w:p>
        </w:tc>
        <w:tc>
          <w:tcPr>
            <w:tcW w:w="1007" w:type="pct"/>
            <w:noWrap w:val="0"/>
            <w:vAlign w:val="center"/>
          </w:tcPr>
          <w:p>
            <w:pPr>
              <w:jc w:val="center"/>
              <w:textAlignment w:val="center"/>
              <w:rPr>
                <w:rFonts w:hint="eastAsia" w:ascii="宋体" w:hAnsi="宋体" w:cs="宋体"/>
                <w:kern w:val="0"/>
                <w:sz w:val="18"/>
                <w:szCs w:val="18"/>
                <w:highlight w:val="none"/>
              </w:rPr>
            </w:pPr>
            <w:r>
              <w:rPr>
                <w:rFonts w:hint="eastAsia" w:ascii="宋体" w:hAnsi="宋体" w:cs="宋体"/>
                <w:bCs/>
                <w:color w:val="000000"/>
                <w:kern w:val="0"/>
                <w:sz w:val="18"/>
                <w:szCs w:val="18"/>
                <w:highlight w:val="none"/>
                <w:lang w:val="en-US" w:eastAsia="zh-CN"/>
              </w:rPr>
              <w:t>10kV电力电缆</w:t>
            </w:r>
          </w:p>
        </w:tc>
        <w:tc>
          <w:tcPr>
            <w:tcW w:w="525" w:type="pct"/>
            <w:noWrap w:val="0"/>
            <w:vAlign w:val="center"/>
          </w:tcPr>
          <w:p>
            <w:pPr>
              <w:jc w:val="center"/>
              <w:textAlignment w:val="center"/>
              <w:rPr>
                <w:rFonts w:hint="eastAsia" w:ascii="宋体" w:hAnsi="宋体" w:cs="宋体"/>
                <w:kern w:val="0"/>
                <w:sz w:val="18"/>
                <w:szCs w:val="18"/>
                <w:highlight w:val="none"/>
              </w:rPr>
            </w:pPr>
            <w:r>
              <w:rPr>
                <w:rFonts w:hint="eastAsia" w:ascii="宋体" w:hAnsi="宋体" w:eastAsia="宋体" w:cs="宋体"/>
                <w:bCs/>
                <w:color w:val="000000"/>
                <w:kern w:val="0"/>
                <w:sz w:val="18"/>
                <w:szCs w:val="18"/>
                <w:highlight w:val="none"/>
                <w:lang w:val="en-US" w:eastAsia="zh-CN" w:bidi="ar-SA"/>
              </w:rPr>
              <w:t>各型号</w:t>
            </w:r>
          </w:p>
        </w:tc>
        <w:tc>
          <w:tcPr>
            <w:tcW w:w="1111" w:type="pct"/>
            <w:noWrap w:val="0"/>
            <w:vAlign w:val="center"/>
          </w:tcPr>
          <w:p>
            <w:pPr>
              <w:jc w:val="center"/>
              <w:textAlignment w:val="center"/>
              <w:rPr>
                <w:rFonts w:hint="default" w:ascii="宋体" w:hAnsi="宋体" w:eastAsia="宋体" w:cs="宋体"/>
                <w:kern w:val="0"/>
                <w:sz w:val="18"/>
                <w:szCs w:val="18"/>
                <w:highlight w:val="none"/>
                <w:lang w:val="en-US" w:eastAsia="zh-CN" w:bidi="ar"/>
              </w:rPr>
            </w:pPr>
            <w:r>
              <w:rPr>
                <w:rFonts w:hint="eastAsia" w:ascii="宋体" w:hAnsi="宋体" w:cs="宋体"/>
                <w:kern w:val="0"/>
                <w:sz w:val="18"/>
                <w:szCs w:val="18"/>
                <w:highlight w:val="none"/>
                <w:lang w:val="en-US" w:eastAsia="zh-CN" w:bidi="ar"/>
              </w:rPr>
              <w:t>282.55</w:t>
            </w:r>
          </w:p>
        </w:tc>
        <w:tc>
          <w:tcPr>
            <w:tcW w:w="1483" w:type="pct"/>
            <w:vMerge w:val="restart"/>
            <w:noWrap w:val="0"/>
            <w:vAlign w:val="center"/>
          </w:tcPr>
          <w:p>
            <w:pPr>
              <w:ind w:left="0" w:leftChars="0" w:firstLine="0" w:firstLineChars="0"/>
              <w:jc w:val="left"/>
              <w:textAlignment w:val="center"/>
              <w:rPr>
                <w:rFonts w:hint="eastAsia" w:ascii="宋体" w:hAnsi="宋体" w:cs="宋体"/>
                <w:kern w:val="0"/>
                <w:sz w:val="18"/>
                <w:szCs w:val="18"/>
                <w:highlight w:val="none"/>
              </w:rPr>
            </w:pPr>
            <w:r>
              <w:rPr>
                <w:rFonts w:hint="eastAsia" w:ascii="宋体" w:hAnsi="宋体" w:cs="宋体"/>
                <w:kern w:val="0"/>
                <w:sz w:val="18"/>
                <w:szCs w:val="18"/>
                <w:highlight w:val="none"/>
                <w:lang w:val="en-US" w:eastAsia="zh-CN"/>
              </w:rPr>
              <w:t>采用先货后款：货款分期支付。结算完成后，甲方支付前，乙方应向甲方提供本合同约定的增值税发票，且应在开具发票之日起1个月以内办理交接手续，否则甲方有权拒付。在收到业主拨款后，甲方按同比例向乙方支付货款，最高支付比例不得高于当月货款结算金额的97 %，剩余3 %作为质保金，在质保期满后1个月内无息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2" w:hRule="atLeast"/>
          <w:jc w:val="center"/>
        </w:trPr>
        <w:tc>
          <w:tcPr>
            <w:tcW w:w="503" w:type="pct"/>
            <w:noWrap w:val="0"/>
            <w:vAlign w:val="center"/>
          </w:tcPr>
          <w:p>
            <w:pPr>
              <w:ind w:firstLine="364"/>
              <w:jc w:val="both"/>
              <w:textAlignment w:val="center"/>
              <w:rPr>
                <w:rFonts w:hint="eastAsia" w:ascii="宋体" w:hAnsi="宋体" w:cs="宋体"/>
                <w:kern w:val="0"/>
                <w:sz w:val="18"/>
                <w:szCs w:val="18"/>
                <w:highlight w:val="none"/>
              </w:rPr>
            </w:pPr>
            <w:r>
              <w:rPr>
                <w:rFonts w:hint="eastAsia" w:ascii="宋体" w:hAnsi="宋体" w:cs="宋体"/>
                <w:kern w:val="0"/>
                <w:sz w:val="18"/>
                <w:szCs w:val="18"/>
                <w:highlight w:val="none"/>
              </w:rPr>
              <w:t>2</w:t>
            </w:r>
          </w:p>
        </w:tc>
        <w:tc>
          <w:tcPr>
            <w:tcW w:w="368" w:type="pct"/>
            <w:noWrap w:val="0"/>
            <w:vAlign w:val="center"/>
          </w:tcPr>
          <w:p>
            <w:pPr>
              <w:jc w:val="center"/>
              <w:textAlignment w:val="center"/>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02</w:t>
            </w:r>
          </w:p>
        </w:tc>
        <w:tc>
          <w:tcPr>
            <w:tcW w:w="1007" w:type="pct"/>
            <w:noWrap w:val="0"/>
            <w:vAlign w:val="center"/>
          </w:tcPr>
          <w:p>
            <w:pPr>
              <w:widowControl/>
              <w:jc w:val="center"/>
              <w:textAlignment w:val="center"/>
              <w:rPr>
                <w:rFonts w:hint="eastAsia" w:ascii="宋体" w:hAnsi="宋体" w:eastAsia="宋体" w:cs="宋体"/>
                <w:bCs/>
                <w:color w:val="000000"/>
                <w:kern w:val="0"/>
                <w:sz w:val="18"/>
                <w:szCs w:val="18"/>
                <w:highlight w:val="none"/>
                <w:lang w:val="en-US" w:eastAsia="zh-CN" w:bidi="ar-SA"/>
              </w:rPr>
            </w:pPr>
            <w:r>
              <w:rPr>
                <w:rFonts w:hint="eastAsia" w:ascii="宋体" w:hAnsi="宋体" w:eastAsia="宋体" w:cs="宋体"/>
                <w:bCs/>
                <w:color w:val="000000"/>
                <w:kern w:val="0"/>
                <w:sz w:val="18"/>
                <w:szCs w:val="18"/>
                <w:highlight w:val="none"/>
                <w:lang w:val="en-US" w:eastAsia="zh-CN"/>
              </w:rPr>
              <w:t>变压器</w:t>
            </w:r>
          </w:p>
        </w:tc>
        <w:tc>
          <w:tcPr>
            <w:tcW w:w="525" w:type="pct"/>
            <w:noWrap w:val="0"/>
            <w:vAlign w:val="center"/>
          </w:tcPr>
          <w:p>
            <w:pPr>
              <w:widowControl/>
              <w:jc w:val="center"/>
              <w:textAlignment w:val="center"/>
              <w:rPr>
                <w:rFonts w:hint="eastAsia" w:ascii="宋体" w:hAnsi="宋体" w:eastAsia="宋体" w:cs="宋体"/>
                <w:bCs/>
                <w:color w:val="000000"/>
                <w:kern w:val="0"/>
                <w:sz w:val="18"/>
                <w:szCs w:val="18"/>
                <w:highlight w:val="none"/>
                <w:lang w:val="en-US" w:eastAsia="zh-CN" w:bidi="ar-SA"/>
              </w:rPr>
            </w:pPr>
            <w:r>
              <w:rPr>
                <w:rFonts w:hint="eastAsia" w:ascii="宋体" w:hAnsi="宋体" w:eastAsia="宋体" w:cs="宋体"/>
                <w:bCs/>
                <w:color w:val="000000"/>
                <w:kern w:val="0"/>
                <w:sz w:val="18"/>
                <w:szCs w:val="18"/>
                <w:highlight w:val="none"/>
                <w:lang w:val="en-US" w:eastAsia="zh-CN" w:bidi="ar-SA"/>
              </w:rPr>
              <w:t>各型号</w:t>
            </w:r>
          </w:p>
        </w:tc>
        <w:tc>
          <w:tcPr>
            <w:tcW w:w="1111" w:type="pct"/>
            <w:noWrap w:val="0"/>
            <w:vAlign w:val="center"/>
          </w:tcPr>
          <w:p>
            <w:pPr>
              <w:widowControl/>
              <w:jc w:val="center"/>
              <w:textAlignment w:val="center"/>
              <w:rPr>
                <w:rFonts w:hint="default" w:ascii="宋体" w:hAnsi="宋体" w:eastAsia="宋体" w:cs="宋体"/>
                <w:bCs/>
                <w:color w:val="000000"/>
                <w:kern w:val="0"/>
                <w:sz w:val="18"/>
                <w:szCs w:val="18"/>
                <w:highlight w:val="none"/>
                <w:lang w:val="en-US" w:eastAsia="zh-CN" w:bidi="ar-SA"/>
              </w:rPr>
            </w:pPr>
            <w:r>
              <w:rPr>
                <w:rFonts w:hint="eastAsia" w:ascii="宋体" w:hAnsi="宋体" w:eastAsia="宋体" w:cs="宋体"/>
                <w:bCs/>
                <w:color w:val="000000"/>
                <w:kern w:val="0"/>
                <w:sz w:val="18"/>
                <w:szCs w:val="18"/>
                <w:highlight w:val="none"/>
                <w:lang w:val="en-US" w:eastAsia="zh-CN" w:bidi="ar-SA"/>
              </w:rPr>
              <w:t>2289.22</w:t>
            </w:r>
          </w:p>
        </w:tc>
        <w:tc>
          <w:tcPr>
            <w:tcW w:w="1483" w:type="pct"/>
            <w:vMerge w:val="continue"/>
            <w:noWrap w:val="0"/>
            <w:vAlign w:val="center"/>
          </w:tcPr>
          <w:p>
            <w:pPr>
              <w:ind w:firstLine="364"/>
              <w:jc w:val="center"/>
              <w:textAlignment w:val="center"/>
              <w:rPr>
                <w:rFonts w:hint="eastAsia" w:ascii="宋体" w:hAnsi="宋体" w:cs="宋体"/>
                <w:kern w:val="0"/>
                <w:sz w:val="18"/>
                <w:szCs w:val="18"/>
                <w:highlight w:val="none"/>
              </w:rPr>
            </w:pPr>
          </w:p>
        </w:tc>
      </w:tr>
    </w:tbl>
    <w:p>
      <w:pPr>
        <w:pStyle w:val="10"/>
        <w:ind w:left="0" w:leftChars="0" w:firstLine="0" w:firstLineChars="0"/>
        <w:jc w:val="left"/>
        <w:rPr>
          <w:rFonts w:hint="default" w:ascii="Calibri" w:hAnsi="Calibri"/>
          <w:b/>
          <w:bCs/>
          <w:color w:val="000000"/>
          <w:kern w:val="2"/>
          <w:sz w:val="28"/>
          <w:szCs w:val="28"/>
          <w:highlight w:val="none"/>
          <w:lang w:val="en-US" w:eastAsia="zh-CN" w:bidi="ar-SA"/>
        </w:rPr>
        <w:sectPr>
          <w:footerReference r:id="rId3" w:type="default"/>
          <w:pgSz w:w="11906" w:h="16838"/>
          <w:pgMar w:top="1440" w:right="1800" w:bottom="1440" w:left="1800" w:header="851" w:footer="992" w:gutter="0"/>
          <w:pgNumType w:fmt="decimal" w:start="1"/>
          <w:cols w:space="720" w:num="1"/>
          <w:rtlGutter w:val="0"/>
          <w:docGrid w:type="linesAndChars" w:linePitch="312" w:charSpace="609"/>
        </w:sectPr>
      </w:pPr>
      <w:r>
        <w:rPr>
          <w:rFonts w:hint="eastAsia" w:ascii="Calibri" w:hAnsi="Calibri"/>
          <w:b/>
          <w:bCs/>
          <w:color w:val="000000"/>
          <w:kern w:val="2"/>
          <w:sz w:val="21"/>
          <w:szCs w:val="21"/>
          <w:highlight w:val="none"/>
          <w:lang w:val="en-US" w:eastAsia="zh-CN" w:bidi="ar-SA"/>
        </w:rPr>
        <w:t>备注：各投标人递交的投标文件中的报价不得高于招标文件约定的最高限价要求，否则其投标文件将被否决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-228600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jc w:val="center"/>
                          </w:pPr>
                          <w:r>
                            <w:fldChar w:fldCharType="begin"/>
                          </w:r>
                          <w:r>
                            <w:instrText xml:space="preserve"> PAGE   \* MERGEFORMAT </w:instrText>
                          </w:r>
                          <w:r>
                            <w:fldChar w:fldCharType="separate"/>
                          </w:r>
                          <w:r>
                            <w:rPr>
                              <w:lang w:val="zh-CN"/>
                            </w:rP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18pt;height:144pt;width:144pt;mso-position-horizontal:center;mso-position-horizontal-relative:margin;mso-wrap-style:none;z-index:251663360;mso-width-relative:page;mso-height-relative:page;" filled="f" stroked="f" coordsize="21600,21600" o:gfxdata="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r9iArXAAAACAEAAA8AAAAAAAAAAQAgAAAAIgAA&#10;AGRycy9kb3ducmV2LnhtbFBLAQIUABQAAAAIAIdO4kBgcnE80AEAAKMDAAAOAAAAAAAAAAEAIAAA&#10;ACYBAABkcnMvZTJvRG9jLnhtbFBLBQYAAAAABgAGAFkBAABoBQAAAAA=&#10;">
              <v:path/>
              <v:fill on="f" focussize="0,0"/>
              <v:stroke on="f" weight="1.25pt"/>
              <v:imagedata o:title=""/>
              <o:lock v:ext="edit" aspectratio="f"/>
              <v:textbox inset="0mm,0mm,0mm,0mm" style="mso-fit-shape-to-text:t;">
                <w:txbxContent>
                  <w:p>
                    <w:pPr>
                      <w:pStyle w:val="5"/>
                      <w:jc w:val="center"/>
                    </w:pPr>
                    <w:r>
                      <w:fldChar w:fldCharType="begin"/>
                    </w:r>
                    <w:r>
                      <w:instrText xml:space="preserve"> PAGE   \* MERGEFORMAT </w:instrText>
                    </w:r>
                    <w:r>
                      <w:fldChar w:fldCharType="separate"/>
                    </w:r>
                    <w:r>
                      <w:rPr>
                        <w:lang w:val="zh-CN"/>
                      </w:rP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338D7"/>
    <w:rsid w:val="485338D7"/>
    <w:rsid w:val="4CDF4AF3"/>
    <w:rsid w:val="5D7F0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line="360" w:lineRule="auto"/>
      <w:jc w:val="center"/>
      <w:outlineLvl w:val="0"/>
    </w:pPr>
    <w:rPr>
      <w:b/>
      <w:bCs/>
      <w:kern w:val="44"/>
      <w:sz w:val="36"/>
      <w:szCs w:val="44"/>
    </w:rPr>
  </w:style>
  <w:style w:type="paragraph" w:styleId="2">
    <w:name w:val="heading 2"/>
    <w:basedOn w:val="1"/>
    <w:next w:val="1"/>
    <w:qFormat/>
    <w:uiPriority w:val="9"/>
    <w:pPr>
      <w:keepNext/>
      <w:keepLines/>
      <w:widowControl w:val="0"/>
      <w:spacing w:line="360" w:lineRule="auto"/>
      <w:outlineLvl w:val="1"/>
    </w:pPr>
    <w:rPr>
      <w:rFonts w:ascii="Arial" w:hAnsi="Arial" w:eastAsia="黑体"/>
      <w:b/>
      <w:bCs/>
      <w:sz w:val="28"/>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Plain Text"/>
    <w:basedOn w:val="1"/>
    <w:unhideWhenUsed/>
    <w:uiPriority w:val="99"/>
    <w:pPr>
      <w:ind w:firstLine="200" w:firstLineChars="200"/>
    </w:pPr>
    <w:rPr>
      <w:rFonts w:ascii="宋体" w:hAnsi="宋体" w:eastAsia="仿宋_GB2312" w:cs="Courier New"/>
      <w:szCs w:val="21"/>
      <w:lang w:bidi="ar-SA"/>
    </w:rPr>
  </w:style>
  <w:style w:type="paragraph" w:styleId="5">
    <w:name w:val="footer"/>
    <w:basedOn w:val="1"/>
    <w:qFormat/>
    <w:uiPriority w:val="99"/>
    <w:pPr>
      <w:tabs>
        <w:tab w:val="center" w:pos="4153"/>
        <w:tab w:val="right" w:pos="8306"/>
      </w:tabs>
      <w:snapToGrid w:val="0"/>
      <w:jc w:val="left"/>
    </w:pPr>
    <w:rPr>
      <w:sz w:val="18"/>
    </w:rPr>
  </w:style>
  <w:style w:type="paragraph" w:styleId="6">
    <w:name w:val="Normal (Web)"/>
    <w:basedOn w:val="1"/>
    <w:unhideWhenUsed/>
    <w:uiPriority w:val="99"/>
    <w:pPr>
      <w:spacing w:before="100" w:beforeAutospacing="1" w:after="100" w:afterAutospacing="1"/>
      <w:ind w:left="0" w:right="0"/>
      <w:jc w:val="left"/>
    </w:pPr>
    <w:rPr>
      <w:kern w:val="0"/>
      <w:sz w:val="24"/>
      <w:lang w:val="en-US" w:eastAsia="zh-CN" w:bidi="ar"/>
    </w:rPr>
  </w:style>
  <w:style w:type="paragraph" w:customStyle="1" w:styleId="9">
    <w:name w:val="样式 标题 2 + Times New Roman 四号 非加粗 段前: 5 磅 段后: 0 磅 行距: 固定值 20..."/>
    <w:basedOn w:val="2"/>
    <w:next w:val="1"/>
    <w:locked/>
    <w:uiPriority w:val="0"/>
    <w:pPr>
      <w:spacing w:before="100" w:beforeLines="0" w:after="0" w:afterLines="0" w:line="400" w:lineRule="exact"/>
    </w:pPr>
    <w:rPr>
      <w:rFonts w:ascii="Times New Roman" w:hAnsi="Times New Roman" w:cs="宋体"/>
      <w:b w:val="0"/>
      <w:bCs w:val="0"/>
      <w:sz w:val="28"/>
      <w:szCs w:val="20"/>
      <w:lang w:bidi="ar-SA"/>
    </w:rPr>
  </w:style>
  <w:style w:type="paragraph" w:customStyle="1" w:styleId="10">
    <w:name w:val="样式 首行缩进:  2 字符"/>
    <w:basedOn w:val="1"/>
    <w:qFormat/>
    <w:uiPriority w:val="0"/>
    <w:pPr>
      <w:ind w:firstLine="420" w:firstLineChars="200"/>
    </w:pPr>
    <w:rPr>
      <w:rFonts w:ascii="Times New Roman" w:hAnsi="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2020-11-11T06:26:00Z</dcterms:created>
  <dc:creator>  但峰</dc:creator>
  <cp:lastModifiedBy>  但峰</cp:lastModifiedBy>
  <dcterms:modified xsi:type="dcterms:W3CDTF">2020-11-11T06:28:16Z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