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/>
          <w:b/>
          <w:bCs/>
          <w:color w:val="000000"/>
          <w:sz w:val="28"/>
          <w:szCs w:val="28"/>
          <w:highlight w:val="none"/>
        </w:rPr>
      </w:pPr>
      <w:bookmarkStart w:id="1" w:name="_GoBack"/>
      <w:bookmarkStart w:id="0" w:name="_Toc15989"/>
      <w:r>
        <w:rPr>
          <w:rFonts w:hint="eastAsia"/>
          <w:b/>
          <w:bCs/>
          <w:color w:val="000000"/>
          <w:sz w:val="28"/>
          <w:szCs w:val="28"/>
          <w:highlight w:val="none"/>
        </w:rPr>
        <w:t>附件一：招标公告一览表</w:t>
      </w:r>
      <w:bookmarkEnd w:id="0"/>
    </w:p>
    <w:bookmarkEnd w:id="1"/>
    <w:p>
      <w:pPr>
        <w:spacing w:line="360" w:lineRule="auto"/>
        <w:jc w:val="center"/>
        <w:rPr>
          <w:rFonts w:hint="eastAsia" w:cs="宋体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  <w:highlight w:val="none"/>
        </w:rPr>
        <w:t>招标公告一览表</w:t>
      </w:r>
    </w:p>
    <w:tbl>
      <w:tblPr>
        <w:tblStyle w:val="6"/>
        <w:tblW w:w="108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796"/>
        <w:gridCol w:w="169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包件号</w:t>
            </w:r>
          </w:p>
        </w:tc>
        <w:tc>
          <w:tcPr>
            <w:tcW w:w="1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招标文件售价（元）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交货状态及条件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10kV电力电缆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云南省（景洪市、普洱市、红河州）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满足技术规格书要求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云南省（景洪市、普洱市、红河州）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满足技术规格书要求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其中27台终端型组合式变压器利旧使用，需进行改造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</w:rPr>
        <w:t>注：以上数据仅作为初步招标依据，具体物资规格、数量以实际使用情况为准；招标公告规格、数量与招标文件规格、数量不符的，以招标文件规格、数量为准；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eastAsia="zh-CN"/>
        </w:rPr>
        <w:t>鲁班平台中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</w:rPr>
        <w:t>规格、数量与招标文件规格、数量不符的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</w:rPr>
        <w:t>以招标文件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eastAsia="zh-CN"/>
        </w:rPr>
        <w:t>中物资需求一览表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</w:rPr>
        <w:t>规格、数量为准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eastAsia="zh-CN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</w:rPr>
        <w:t>中国中铁鲁班电子商务平台必须报价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若未报价，则投标文件将被否决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highlight w:val="none"/>
        </w:rPr>
        <w:t>，物资名称、数量以招标文件为准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38D7"/>
    <w:rsid w:val="485338D7"/>
    <w:rsid w:val="5D7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line="36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widowControl w:val="0"/>
      <w:spacing w:line="360" w:lineRule="auto"/>
      <w:outlineLvl w:val="1"/>
    </w:pPr>
    <w:rPr>
      <w:rFonts w:ascii="Arial" w:hAnsi="Arial" w:eastAsia="黑体"/>
      <w:b/>
      <w:bCs/>
      <w:sz w:val="28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uiPriority w:val="99"/>
    <w:pPr>
      <w:ind w:firstLine="200" w:firstLineChars="200"/>
    </w:pPr>
    <w:rPr>
      <w:rFonts w:ascii="宋体" w:hAnsi="宋体" w:eastAsia="仿宋_GB2312" w:cs="Courier New"/>
      <w:szCs w:val="21"/>
      <w:lang w:bidi="ar-SA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 标题 2 + Times New Roman 四号 非加粗 段前: 5 磅 段后: 0 磅 行距: 固定值 20..."/>
    <w:basedOn w:val="2"/>
    <w:next w:val="1"/>
    <w:locked/>
    <w:uiPriority w:val="0"/>
    <w:pPr>
      <w:spacing w:before="100" w:beforeLines="0" w:after="0" w:afterLines="0" w:line="400" w:lineRule="exact"/>
    </w:pPr>
    <w:rPr>
      <w:rFonts w:ascii="Times New Roman" w:hAnsi="Times New Roman" w:cs="宋体"/>
      <w:b w:val="0"/>
      <w:bCs w:val="0"/>
      <w:sz w:val="28"/>
      <w:szCs w:val="20"/>
      <w:lang w:bidi="ar-SA"/>
    </w:rPr>
  </w:style>
  <w:style w:type="paragraph" w:customStyle="1" w:styleId="9">
    <w:name w:val="样式 首行缩进:  2 字符"/>
    <w:basedOn w:val="1"/>
    <w:qFormat/>
    <w:uiPriority w:val="0"/>
    <w:pPr>
      <w:ind w:firstLine="420" w:firstLineChars="200"/>
    </w:pPr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2020-11-11T06:26:00Z</dcterms:created>
  <dc:creator>  但峰</dc:creator>
  <cp:lastModifiedBy>  但峰</cp:lastModifiedBy>
  <dcterms:modified xsi:type="dcterms:W3CDTF">2020-11-11T06:27:42Z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