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rPr>
          <w:rFonts w:ascii="仿宋_GB2312" w:eastAsia="仿宋_GB2312"/>
          <w:bCs/>
          <w:sz w:val="24"/>
        </w:rPr>
      </w:pPr>
    </w:p>
    <w:p>
      <w:pPr>
        <w:jc w:val="center"/>
        <w:rPr>
          <w:rFonts w:ascii="宋体" w:hAnsi="宋体"/>
          <w:b/>
          <w:sz w:val="44"/>
          <w:szCs w:val="44"/>
          <w:u w:val="single"/>
        </w:rPr>
      </w:pPr>
    </w:p>
    <w:p>
      <w:pPr>
        <w:jc w:val="center"/>
        <w:rPr>
          <w:rFonts w:ascii="宋体" w:hAnsi="宋体"/>
          <w:b/>
          <w:sz w:val="44"/>
          <w:szCs w:val="44"/>
          <w:u w:val="single"/>
        </w:rPr>
      </w:pPr>
    </w:p>
    <w:p>
      <w:pPr>
        <w:jc w:val="center"/>
        <w:rPr>
          <w:rFonts w:ascii="宋体" w:hAnsi="宋体"/>
          <w:b/>
          <w:sz w:val="44"/>
          <w:szCs w:val="44"/>
          <w:u w:val="single"/>
        </w:rPr>
      </w:pPr>
    </w:p>
    <w:p>
      <w:pPr>
        <w:jc w:val="center"/>
        <w:rPr>
          <w:rFonts w:hint="default" w:ascii="宋体" w:hAnsi="宋体"/>
          <w:b/>
          <w:bCs/>
          <w:sz w:val="44"/>
          <w:szCs w:val="44"/>
          <w:u w:val="none"/>
          <w:lang w:val="en-US"/>
        </w:rPr>
      </w:pPr>
      <w:r>
        <w:rPr>
          <w:rFonts w:hint="eastAsia" w:ascii="宋体" w:hAnsi="宋体"/>
          <w:b/>
          <w:sz w:val="44"/>
          <w:szCs w:val="44"/>
          <w:lang w:val="en-US" w:eastAsia="zh-CN"/>
        </w:rPr>
        <w:t xml:space="preserve">   </w:t>
      </w:r>
      <w:r>
        <w:rPr>
          <w:rFonts w:hint="eastAsia" w:ascii="宋体" w:hAnsi="宋体"/>
          <w:b/>
          <w:sz w:val="44"/>
          <w:szCs w:val="44"/>
          <w:u w:val="single"/>
          <w:lang w:val="en-US" w:eastAsia="zh-CN"/>
        </w:rPr>
        <w:t xml:space="preserve"> 唐山交大园（西南交大研究生院、交大酒店）项目EPC总承包</w:t>
      </w:r>
      <w:r>
        <w:rPr>
          <w:rFonts w:hint="eastAsia" w:ascii="宋体" w:hAnsi="宋体"/>
          <w:b/>
          <w:sz w:val="44"/>
          <w:szCs w:val="44"/>
          <w:u w:val="none"/>
          <w:lang w:val="en-US" w:eastAsia="zh-CN"/>
        </w:rPr>
        <w:t>工程</w:t>
      </w:r>
    </w:p>
    <w:p>
      <w:pPr>
        <w:jc w:val="center"/>
        <w:rPr>
          <w:rFonts w:ascii="宋体" w:hAnsi="宋体"/>
          <w:b/>
          <w:bCs/>
          <w:sz w:val="44"/>
          <w:szCs w:val="44"/>
        </w:rPr>
      </w:pPr>
      <w:r>
        <w:rPr>
          <w:rFonts w:hint="eastAsia" w:ascii="宋体" w:hAnsi="宋体"/>
          <w:b/>
          <w:bCs/>
          <w:sz w:val="44"/>
          <w:szCs w:val="44"/>
          <w:lang w:val="en-US" w:eastAsia="zh-CN"/>
        </w:rPr>
        <w:t>电缆</w:t>
      </w:r>
      <w:r>
        <w:rPr>
          <w:rFonts w:hint="eastAsia" w:ascii="宋体" w:hAnsi="宋体"/>
          <w:b/>
          <w:bCs/>
          <w:sz w:val="44"/>
          <w:szCs w:val="44"/>
        </w:rPr>
        <w:t>采购</w:t>
      </w:r>
    </w:p>
    <w:p>
      <w:pPr>
        <w:jc w:val="center"/>
        <w:rPr>
          <w:rFonts w:ascii="宋体" w:hAnsi="宋体"/>
          <w:b/>
          <w:bCs/>
          <w:sz w:val="24"/>
        </w:rPr>
      </w:pPr>
    </w:p>
    <w:p>
      <w:pPr>
        <w:jc w:val="center"/>
        <w:rPr>
          <w:rFonts w:ascii="宋体" w:hAnsi="宋体"/>
          <w:b/>
          <w:bCs/>
          <w:sz w:val="24"/>
        </w:rPr>
      </w:pPr>
    </w:p>
    <w:p>
      <w:pPr>
        <w:jc w:val="center"/>
        <w:rPr>
          <w:rFonts w:ascii="宋体" w:hAnsi="宋体"/>
          <w:b/>
          <w:bCs/>
          <w:sz w:val="24"/>
        </w:rPr>
      </w:pPr>
    </w:p>
    <w:p>
      <w:pPr>
        <w:jc w:val="center"/>
        <w:rPr>
          <w:rFonts w:ascii="宋体" w:hAnsi="宋体"/>
          <w:b/>
          <w:bCs/>
          <w:sz w:val="72"/>
          <w:szCs w:val="72"/>
        </w:rPr>
      </w:pPr>
      <w:r>
        <w:rPr>
          <w:rFonts w:hint="eastAsia" w:ascii="宋体" w:hAnsi="宋体"/>
          <w:b/>
          <w:bCs/>
          <w:sz w:val="72"/>
          <w:szCs w:val="72"/>
        </w:rPr>
        <w:t>招 标 公 告</w:t>
      </w: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jc w:val="center"/>
        <w:rPr>
          <w:rFonts w:ascii="宋体" w:hAnsi="宋体"/>
          <w:sz w:val="24"/>
        </w:rPr>
      </w:pPr>
    </w:p>
    <w:p>
      <w:pPr>
        <w:spacing w:line="600" w:lineRule="exact"/>
        <w:ind w:firstLine="1792" w:firstLineChars="747"/>
        <w:rPr>
          <w:rFonts w:ascii="宋体" w:hAnsi="宋体"/>
          <w:sz w:val="24"/>
        </w:rPr>
      </w:pPr>
    </w:p>
    <w:p>
      <w:pPr>
        <w:spacing w:line="600" w:lineRule="exact"/>
        <w:ind w:firstLine="1792" w:firstLineChars="747"/>
        <w:rPr>
          <w:rFonts w:ascii="宋体" w:hAnsi="宋体"/>
          <w:sz w:val="24"/>
          <w:u w:val="single"/>
        </w:rPr>
      </w:pPr>
      <w:r>
        <w:rPr>
          <w:rFonts w:hint="eastAsia" w:ascii="宋体" w:hAnsi="宋体"/>
          <w:sz w:val="24"/>
        </w:rPr>
        <w:t xml:space="preserve">招 标 人： </w:t>
      </w:r>
      <w:r>
        <w:rPr>
          <w:rFonts w:hint="eastAsia" w:ascii="宋体" w:hAnsi="宋体"/>
          <w:sz w:val="24"/>
          <w:u w:val="single"/>
        </w:rPr>
        <w:t xml:space="preserve">  中国建筑一局（集团）有限公司         </w:t>
      </w:r>
    </w:p>
    <w:p>
      <w:pPr>
        <w:spacing w:line="600" w:lineRule="exact"/>
        <w:ind w:firstLine="1792" w:firstLineChars="747"/>
        <w:rPr>
          <w:rFonts w:ascii="宋体" w:hAnsi="宋体"/>
          <w:sz w:val="24"/>
        </w:rPr>
      </w:pPr>
    </w:p>
    <w:p>
      <w:pPr>
        <w:spacing w:line="600" w:lineRule="exact"/>
        <w:ind w:firstLine="1792" w:firstLineChars="747"/>
        <w:rPr>
          <w:rFonts w:ascii="宋体" w:hAnsi="宋体"/>
          <w:sz w:val="24"/>
        </w:rPr>
      </w:pPr>
      <w:r>
        <w:rPr>
          <w:rFonts w:hint="eastAsia" w:ascii="宋体" w:hAnsi="宋体"/>
          <w:sz w:val="24"/>
        </w:rPr>
        <w:t xml:space="preserve">电    话： </w:t>
      </w:r>
      <w:r>
        <w:rPr>
          <w:rFonts w:hint="eastAsia" w:ascii="宋体" w:hAnsi="宋体"/>
          <w:sz w:val="24"/>
          <w:u w:val="single"/>
        </w:rPr>
        <w:t xml:space="preserve">     </w:t>
      </w:r>
      <w:r>
        <w:rPr>
          <w:rFonts w:hint="eastAsia" w:ascii="宋体" w:hAnsi="宋体"/>
          <w:sz w:val="24"/>
          <w:u w:val="single"/>
          <w:lang w:val="en-US" w:eastAsia="zh-CN"/>
        </w:rPr>
        <w:t>15010516099</w:t>
      </w:r>
      <w:r>
        <w:rPr>
          <w:rFonts w:hint="eastAsia" w:ascii="宋体" w:hAnsi="宋体"/>
          <w:sz w:val="24"/>
          <w:u w:val="single"/>
        </w:rPr>
        <w:tab/>
      </w:r>
      <w:r>
        <w:rPr>
          <w:rFonts w:hint="eastAsia" w:ascii="宋体" w:hAnsi="宋体"/>
          <w:sz w:val="24"/>
          <w:u w:val="single"/>
        </w:rPr>
        <w:t xml:space="preserve">   </w:t>
      </w:r>
    </w:p>
    <w:p>
      <w:pPr>
        <w:spacing w:line="600" w:lineRule="exact"/>
        <w:ind w:firstLine="1792" w:firstLineChars="747"/>
        <w:rPr>
          <w:rFonts w:ascii="宋体" w:hAnsi="宋体"/>
          <w:sz w:val="24"/>
        </w:rPr>
      </w:pPr>
    </w:p>
    <w:p>
      <w:pPr>
        <w:spacing w:line="600" w:lineRule="exact"/>
        <w:ind w:firstLine="1792" w:firstLineChars="747"/>
        <w:rPr>
          <w:rFonts w:ascii="宋体" w:hAnsi="宋体"/>
          <w:sz w:val="24"/>
          <w:u w:val="single"/>
        </w:rPr>
      </w:pPr>
      <w:r>
        <w:rPr>
          <w:rFonts w:hint="eastAsia" w:ascii="宋体" w:hAnsi="宋体"/>
          <w:sz w:val="24"/>
        </w:rPr>
        <w:t xml:space="preserve">联 系 人： </w:t>
      </w:r>
      <w:r>
        <w:rPr>
          <w:rFonts w:hint="eastAsia" w:ascii="宋体" w:hAnsi="宋体"/>
          <w:sz w:val="24"/>
          <w:u w:val="single"/>
        </w:rPr>
        <w:t xml:space="preserve">    </w:t>
      </w:r>
      <w:r>
        <w:rPr>
          <w:rFonts w:hint="eastAsia" w:ascii="宋体" w:hAnsi="宋体"/>
          <w:sz w:val="24"/>
          <w:u w:val="single"/>
          <w:lang w:val="en-US" w:eastAsia="zh-CN"/>
        </w:rPr>
        <w:t>于洪伟</w:t>
      </w:r>
      <w:r>
        <w:rPr>
          <w:rFonts w:hint="eastAsia" w:ascii="宋体" w:hAnsi="宋体"/>
          <w:sz w:val="24"/>
          <w:u w:val="single"/>
        </w:rPr>
        <w:t xml:space="preserve">          </w:t>
      </w:r>
    </w:p>
    <w:p>
      <w:pPr>
        <w:spacing w:line="600" w:lineRule="exact"/>
        <w:ind w:firstLine="1792" w:firstLineChars="747"/>
        <w:rPr>
          <w:rFonts w:ascii="宋体" w:hAnsi="宋体"/>
          <w:sz w:val="24"/>
        </w:rPr>
      </w:pPr>
    </w:p>
    <w:p>
      <w:pPr>
        <w:spacing w:line="600" w:lineRule="exact"/>
        <w:ind w:firstLine="1792" w:firstLineChars="747"/>
        <w:rPr>
          <w:rFonts w:ascii="宋体" w:hAnsi="宋体"/>
          <w:sz w:val="24"/>
          <w:u w:val="single"/>
        </w:rPr>
      </w:pPr>
      <w:r>
        <w:rPr>
          <w:rFonts w:hint="eastAsia" w:ascii="宋体" w:hAnsi="宋体"/>
          <w:sz w:val="24"/>
        </w:rPr>
        <w:t xml:space="preserve">发出日期： </w:t>
      </w:r>
      <w:r>
        <w:rPr>
          <w:rFonts w:hint="eastAsia" w:ascii="宋体" w:hAnsi="宋体"/>
          <w:sz w:val="24"/>
          <w:u w:val="single"/>
        </w:rPr>
        <w:t xml:space="preserve">   </w:t>
      </w:r>
      <w:r>
        <w:rPr>
          <w:rFonts w:hint="eastAsia" w:ascii="宋体" w:hAnsi="宋体"/>
          <w:sz w:val="24"/>
          <w:u w:val="single"/>
          <w:lang w:val="en-US" w:eastAsia="zh-CN"/>
        </w:rPr>
        <w:t>2020</w:t>
      </w:r>
      <w:r>
        <w:rPr>
          <w:rFonts w:hint="eastAsia" w:ascii="宋体" w:hAnsi="宋体"/>
          <w:sz w:val="24"/>
          <w:u w:val="single"/>
        </w:rPr>
        <w:t>.</w:t>
      </w:r>
      <w:r>
        <w:rPr>
          <w:rFonts w:hint="eastAsia" w:ascii="宋体" w:hAnsi="宋体"/>
          <w:sz w:val="24"/>
          <w:u w:val="single"/>
          <w:lang w:val="en-US" w:eastAsia="zh-CN"/>
        </w:rPr>
        <w:t>7</w:t>
      </w:r>
      <w:r>
        <w:rPr>
          <w:rFonts w:hint="eastAsia" w:ascii="宋体" w:hAnsi="宋体"/>
          <w:sz w:val="24"/>
          <w:u w:val="single"/>
        </w:rPr>
        <w:t>.</w:t>
      </w:r>
      <w:r>
        <w:rPr>
          <w:rFonts w:hint="eastAsia" w:ascii="宋体" w:hAnsi="宋体"/>
          <w:sz w:val="24"/>
          <w:u w:val="single"/>
          <w:lang w:val="en-US" w:eastAsia="zh-CN"/>
        </w:rPr>
        <w:t>03</w:t>
      </w:r>
      <w:r>
        <w:rPr>
          <w:rFonts w:ascii="宋体" w:hAnsi="宋体"/>
          <w:sz w:val="24"/>
          <w:u w:val="single"/>
        </w:rPr>
        <w:t xml:space="preserve"> </w:t>
      </w:r>
    </w:p>
    <w:p>
      <w:pPr>
        <w:ind w:firstLine="3640" w:firstLineChars="1300"/>
        <w:rPr>
          <w:rFonts w:ascii="仿宋_GB2312" w:hAnsi="宋体" w:eastAsia="仿宋_GB2312"/>
          <w:sz w:val="28"/>
          <w:szCs w:val="28"/>
        </w:rPr>
      </w:pPr>
    </w:p>
    <w:p>
      <w:pPr>
        <w:ind w:firstLine="3640" w:firstLineChars="1300"/>
        <w:rPr>
          <w:rFonts w:ascii="仿宋_GB2312" w:hAnsi="宋体" w:eastAsia="仿宋_GB2312"/>
          <w:sz w:val="28"/>
          <w:szCs w:val="28"/>
        </w:rPr>
      </w:pPr>
    </w:p>
    <w:p>
      <w:pPr>
        <w:ind w:firstLine="3640" w:firstLineChars="1300"/>
        <w:rPr>
          <w:rFonts w:ascii="仿宋_GB2312" w:hAnsi="宋体" w:eastAsia="仿宋_GB2312"/>
          <w:sz w:val="28"/>
          <w:szCs w:val="28"/>
        </w:rPr>
      </w:pPr>
    </w:p>
    <w:p>
      <w:pPr>
        <w:ind w:firstLine="3640" w:firstLineChars="1300"/>
        <w:rPr>
          <w:rFonts w:ascii="仿宋_GB2312" w:hAnsi="宋体" w:eastAsia="仿宋_GB2312"/>
          <w:sz w:val="28"/>
          <w:szCs w:val="28"/>
        </w:rPr>
      </w:pPr>
      <w:r>
        <w:rPr>
          <w:rFonts w:hint="eastAsia" w:ascii="仿宋_GB2312" w:hAnsi="宋体" w:eastAsia="仿宋_GB2312"/>
          <w:sz w:val="28"/>
          <w:szCs w:val="28"/>
        </w:rPr>
        <w:t>招 标 文 件 条 款</w:t>
      </w:r>
    </w:p>
    <w:p>
      <w:pPr>
        <w:spacing w:line="400" w:lineRule="exact"/>
        <w:rPr>
          <w:rFonts w:ascii="仿宋_GB2312" w:hAnsi="宋体" w:eastAsia="仿宋_GB2312"/>
          <w:sz w:val="24"/>
        </w:rPr>
      </w:pPr>
      <w:r>
        <w:rPr>
          <w:rFonts w:hint="eastAsia" w:ascii="仿宋_GB2312" w:hAnsi="宋体" w:eastAsia="仿宋_GB2312"/>
          <w:sz w:val="24"/>
        </w:rPr>
        <w:t>本招标文件中所提及的各种名称与合同文本中提及的具有相同的定义。</w:t>
      </w:r>
    </w:p>
    <w:p>
      <w:pPr>
        <w:spacing w:line="400" w:lineRule="exact"/>
        <w:outlineLvl w:val="0"/>
        <w:rPr>
          <w:rFonts w:ascii="仿宋_GB2312" w:hAnsi="宋体" w:eastAsia="仿宋_GB2312"/>
          <w:sz w:val="24"/>
        </w:rPr>
      </w:pPr>
      <w:r>
        <w:rPr>
          <w:rFonts w:hint="eastAsia" w:ascii="仿宋_GB2312" w:hAnsi="宋体" w:eastAsia="仿宋_GB2312"/>
          <w:sz w:val="24"/>
        </w:rPr>
        <w:t xml:space="preserve">第一条 工程概述 </w:t>
      </w:r>
    </w:p>
    <w:p>
      <w:pPr>
        <w:spacing w:line="440" w:lineRule="exact"/>
        <w:rPr>
          <w:rFonts w:ascii="仿宋_GB2312" w:hAnsi="宋体" w:eastAsia="仿宋_GB2312"/>
          <w:sz w:val="24"/>
        </w:rPr>
      </w:pPr>
      <w:r>
        <w:rPr>
          <w:rFonts w:hint="eastAsia" w:ascii="仿宋_GB2312" w:hAnsi="宋体" w:eastAsia="仿宋_GB2312"/>
          <w:sz w:val="24"/>
        </w:rPr>
        <w:t>1.</w:t>
      </w:r>
      <w:r>
        <w:rPr>
          <w:rFonts w:ascii="仿宋_GB2312" w:hAnsi="宋体" w:eastAsia="仿宋_GB2312"/>
          <w:sz w:val="24"/>
        </w:rPr>
        <w:t>1</w:t>
      </w:r>
      <w:r>
        <w:rPr>
          <w:rFonts w:hint="eastAsia" w:ascii="仿宋_GB2312" w:hAnsi="宋体" w:eastAsia="仿宋_GB2312"/>
          <w:sz w:val="24"/>
        </w:rPr>
        <w:t>工程名称</w:t>
      </w:r>
      <w:r>
        <w:rPr>
          <w:rFonts w:hint="eastAsia" w:ascii="仿宋_GB2312" w:hAnsi="宋体" w:eastAsia="仿宋_GB2312"/>
          <w:szCs w:val="21"/>
        </w:rPr>
        <w:t>：</w:t>
      </w:r>
      <w:r>
        <w:rPr>
          <w:rFonts w:hint="eastAsia" w:ascii="仿宋" w:hAnsi="仿宋" w:eastAsia="仿宋" w:cs="仿宋"/>
          <w:spacing w:val="-7"/>
          <w:sz w:val="24"/>
          <w:szCs w:val="24"/>
          <w:u w:val="none"/>
        </w:rPr>
        <w:t>唐山交大园(西南交大研究生院、交大酒店）项目EPC总承包</w:t>
      </w:r>
      <w:r>
        <w:rPr>
          <w:rFonts w:hint="eastAsia" w:ascii="仿宋_GB2312" w:hAnsi="宋体" w:eastAsia="仿宋_GB2312"/>
          <w:sz w:val="24"/>
        </w:rPr>
        <w:t xml:space="preserve"> </w:t>
      </w:r>
      <w:r>
        <w:rPr>
          <w:rFonts w:hint="eastAsia" w:ascii="仿宋_GB2312" w:hAnsi="宋体" w:eastAsia="仿宋_GB2312"/>
          <w:szCs w:val="21"/>
        </w:rPr>
        <w:t xml:space="preserve">  </w:t>
      </w:r>
      <w:r>
        <w:rPr>
          <w:rFonts w:hint="eastAsia" w:ascii="仿宋_GB2312" w:hAnsi="宋体" w:eastAsia="仿宋_GB2312"/>
          <w:sz w:val="24"/>
        </w:rPr>
        <w:t xml:space="preserve">   </w:t>
      </w:r>
    </w:p>
    <w:p>
      <w:pPr>
        <w:rPr>
          <w:rFonts w:ascii="仿宋_GB2312" w:hAnsi="宋体" w:eastAsia="仿宋_GB2312"/>
          <w:sz w:val="24"/>
        </w:rPr>
      </w:pPr>
      <w:r>
        <w:rPr>
          <w:rFonts w:hint="eastAsia" w:ascii="仿宋_GB2312" w:hAnsi="宋体" w:eastAsia="仿宋_GB2312"/>
          <w:sz w:val="24"/>
        </w:rPr>
        <w:t>1.2工程地点：</w:t>
      </w:r>
      <w:r>
        <w:rPr>
          <w:rFonts w:hint="eastAsia" w:ascii="仿宋" w:hAnsi="仿宋" w:eastAsia="仿宋" w:cs="仿宋"/>
          <w:spacing w:val="-3"/>
          <w:sz w:val="24"/>
          <w:szCs w:val="24"/>
          <w:u w:val="single"/>
        </w:rPr>
        <w:t>河北省唐山市路南区</w:t>
      </w:r>
      <w:r>
        <w:rPr>
          <w:rFonts w:hint="eastAsia" w:ascii="仿宋" w:hAnsi="仿宋" w:eastAsia="仿宋" w:cs="仿宋"/>
          <w:sz w:val="24"/>
          <w:szCs w:val="24"/>
        </w:rPr>
        <w:t xml:space="preserve"> </w:t>
      </w:r>
      <w:r>
        <w:rPr>
          <w:rFonts w:hint="eastAsia" w:ascii="仿宋_GB2312" w:hAnsi="宋体" w:eastAsia="仿宋_GB2312"/>
          <w:sz w:val="24"/>
        </w:rPr>
        <w:t xml:space="preserve">          </w:t>
      </w:r>
    </w:p>
    <w:p>
      <w:pPr>
        <w:spacing w:line="440" w:lineRule="exact"/>
        <w:rPr>
          <w:rFonts w:ascii="仿宋_GB2312" w:hAnsi="宋体" w:eastAsia="仿宋_GB2312"/>
          <w:sz w:val="24"/>
        </w:rPr>
      </w:pPr>
      <w:r>
        <w:rPr>
          <w:rFonts w:hint="eastAsia" w:ascii="仿宋_GB2312" w:hAnsi="宋体" w:eastAsia="仿宋_GB2312"/>
          <w:sz w:val="24"/>
        </w:rPr>
        <w:t>1.3总包单位：</w:t>
      </w:r>
      <w:r>
        <w:rPr>
          <w:rFonts w:hint="eastAsia" w:ascii="宋体" w:hAnsi="宋体"/>
          <w:sz w:val="24"/>
          <w:u w:val="single"/>
        </w:rPr>
        <w:t>中国建筑一局（集团）有限公司</w:t>
      </w:r>
    </w:p>
    <w:p>
      <w:pPr>
        <w:spacing w:line="400" w:lineRule="exact"/>
        <w:outlineLvl w:val="0"/>
        <w:rPr>
          <w:rFonts w:ascii="仿宋_GB2312" w:hAnsi="宋体" w:eastAsia="仿宋_GB2312"/>
          <w:sz w:val="24"/>
        </w:rPr>
      </w:pPr>
      <w:r>
        <w:rPr>
          <w:rFonts w:hint="eastAsia" w:ascii="仿宋_GB2312" w:hAnsi="宋体" w:eastAsia="仿宋_GB2312"/>
          <w:sz w:val="24"/>
        </w:rPr>
        <w:t>第二条 招标形式及范围</w:t>
      </w:r>
    </w:p>
    <w:p>
      <w:pPr>
        <w:spacing w:line="400" w:lineRule="exact"/>
        <w:rPr>
          <w:rFonts w:ascii="仿宋_GB2312" w:hAnsi="宋体" w:eastAsia="仿宋_GB2312"/>
          <w:sz w:val="24"/>
        </w:rPr>
      </w:pPr>
      <w:r>
        <w:rPr>
          <w:rFonts w:hint="eastAsia" w:ascii="仿宋_GB2312" w:hAnsi="宋体" w:eastAsia="仿宋_GB2312"/>
          <w:sz w:val="24"/>
        </w:rPr>
        <w:t>2.1本分供工程招标形式采用：公开招标。</w:t>
      </w:r>
    </w:p>
    <w:p>
      <w:pPr>
        <w:spacing w:line="440" w:lineRule="exact"/>
        <w:rPr>
          <w:rFonts w:ascii="仿宋_GB2312" w:hAnsi="宋体" w:eastAsia="仿宋_GB2312"/>
          <w:sz w:val="24"/>
        </w:rPr>
      </w:pPr>
      <w:r>
        <w:rPr>
          <w:rFonts w:hint="eastAsia" w:ascii="仿宋_GB2312" w:hAnsi="宋体" w:eastAsia="仿宋_GB2312"/>
          <w:sz w:val="24"/>
        </w:rPr>
        <w:t>2.2招标范围：</w:t>
      </w:r>
      <w:r>
        <w:rPr>
          <w:rFonts w:hint="eastAsia" w:ascii="仿宋" w:hAnsi="仿宋" w:eastAsia="仿宋" w:cs="仿宋"/>
          <w:spacing w:val="-7"/>
          <w:sz w:val="24"/>
          <w:szCs w:val="24"/>
          <w:u w:val="none"/>
        </w:rPr>
        <w:t>唐山交大园(西南交大研究生院、交大酒店）项目EPC总承包</w:t>
      </w:r>
      <w:r>
        <w:rPr>
          <w:rFonts w:hint="eastAsia" w:ascii="仿宋_GB2312" w:hAnsi="宋体" w:eastAsia="仿宋_GB2312"/>
          <w:sz w:val="24"/>
        </w:rPr>
        <w:t>所需的</w:t>
      </w:r>
      <w:r>
        <w:rPr>
          <w:rFonts w:hint="eastAsia" w:ascii="仿宋_GB2312" w:hAnsi="宋体" w:eastAsia="仿宋_GB2312"/>
          <w:sz w:val="24"/>
          <w:u w:val="single"/>
          <w:lang w:val="en-US" w:eastAsia="zh-CN"/>
        </w:rPr>
        <w:t>电缆</w:t>
      </w:r>
      <w:r>
        <w:rPr>
          <w:rFonts w:hint="eastAsia" w:ascii="仿宋_GB2312" w:hAnsi="宋体" w:eastAsia="仿宋_GB2312"/>
          <w:sz w:val="24"/>
        </w:rPr>
        <w:t>供货、运输装卸，</w:t>
      </w:r>
      <w:r>
        <w:rPr>
          <w:rFonts w:hint="eastAsia" w:ascii="仿宋_GB2312" w:hAnsi="宋体" w:eastAsia="仿宋_GB2312"/>
          <w:b/>
          <w:sz w:val="24"/>
        </w:rPr>
        <w:t>增值税专用发票</w:t>
      </w:r>
      <w:r>
        <w:rPr>
          <w:rFonts w:hint="eastAsia" w:ascii="仿宋_GB2312" w:hAnsi="宋体" w:eastAsia="仿宋_GB2312"/>
          <w:sz w:val="24"/>
        </w:rPr>
        <w:t>开票价格，投标单位必须对本工程作出竞争性报价。</w:t>
      </w:r>
    </w:p>
    <w:p>
      <w:pPr>
        <w:spacing w:line="440" w:lineRule="exact"/>
        <w:rPr>
          <w:rFonts w:ascii="仿宋_GB2312" w:hAnsi="宋体" w:eastAsia="仿宋_GB2312"/>
          <w:sz w:val="24"/>
        </w:rPr>
      </w:pPr>
      <w:r>
        <w:rPr>
          <w:rFonts w:hint="eastAsia" w:ascii="仿宋_GB2312" w:hAnsi="宋体" w:eastAsia="仿宋_GB2312"/>
          <w:sz w:val="24"/>
        </w:rPr>
        <w:t>2.3.1招标内容 ：本工程招标材料明细如下：</w:t>
      </w:r>
    </w:p>
    <w:tbl>
      <w:tblPr>
        <w:tblStyle w:val="14"/>
        <w:tblW w:w="8801" w:type="dxa"/>
        <w:tblInd w:w="96" w:type="dxa"/>
        <w:tblLayout w:type="fixed"/>
        <w:tblCellMar>
          <w:top w:w="0" w:type="dxa"/>
          <w:left w:w="108" w:type="dxa"/>
          <w:bottom w:w="0" w:type="dxa"/>
          <w:right w:w="108" w:type="dxa"/>
        </w:tblCellMar>
      </w:tblPr>
      <w:tblGrid>
        <w:gridCol w:w="1060"/>
        <w:gridCol w:w="2020"/>
        <w:gridCol w:w="1468"/>
        <w:gridCol w:w="1985"/>
        <w:gridCol w:w="850"/>
        <w:gridCol w:w="1418"/>
      </w:tblGrid>
      <w:tr>
        <w:tblPrEx>
          <w:tblCellMar>
            <w:top w:w="0" w:type="dxa"/>
            <w:left w:w="108" w:type="dxa"/>
            <w:bottom w:w="0" w:type="dxa"/>
            <w:right w:w="108" w:type="dxa"/>
          </w:tblCellMar>
        </w:tblPrEx>
        <w:trPr>
          <w:trHeight w:val="402" w:hRule="atLeast"/>
        </w:trPr>
        <w:tc>
          <w:tcPr>
            <w:tcW w:w="106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序号</w:t>
            </w:r>
          </w:p>
        </w:tc>
        <w:tc>
          <w:tcPr>
            <w:tcW w:w="20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lang w:val="en-US" w:eastAsia="zh-CN"/>
              </w:rPr>
              <w:t>物资</w:t>
            </w:r>
            <w:r>
              <w:rPr>
                <w:rFonts w:hint="eastAsia" w:ascii="宋体" w:hAnsi="宋体" w:cs="宋体"/>
                <w:b/>
                <w:bCs/>
                <w:kern w:val="0"/>
                <w:sz w:val="24"/>
              </w:rPr>
              <w:t>名称</w:t>
            </w:r>
          </w:p>
        </w:tc>
        <w:tc>
          <w:tcPr>
            <w:tcW w:w="146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规格</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尺寸</w:t>
            </w:r>
          </w:p>
        </w:tc>
        <w:tc>
          <w:tcPr>
            <w:tcW w:w="8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单位</w:t>
            </w:r>
          </w:p>
        </w:tc>
        <w:tc>
          <w:tcPr>
            <w:tcW w:w="1418"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4"/>
              </w:rPr>
            </w:pPr>
            <w:r>
              <w:rPr>
                <w:rFonts w:hint="eastAsia" w:ascii="宋体" w:hAnsi="宋体" w:cs="宋体"/>
                <w:b/>
                <w:bCs/>
                <w:kern w:val="0"/>
                <w:sz w:val="24"/>
              </w:rPr>
              <w:t>数量</w:t>
            </w:r>
          </w:p>
        </w:tc>
      </w:tr>
      <w:tr>
        <w:tblPrEx>
          <w:tblCellMar>
            <w:top w:w="0" w:type="dxa"/>
            <w:left w:w="108" w:type="dxa"/>
            <w:bottom w:w="0" w:type="dxa"/>
            <w:right w:w="108" w:type="dxa"/>
          </w:tblCellMar>
        </w:tblPrEx>
        <w:trPr>
          <w:trHeight w:val="402" w:hRule="atLeast"/>
        </w:trPr>
        <w:tc>
          <w:tcPr>
            <w:tcW w:w="10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见云筑网</w:t>
            </w:r>
          </w:p>
        </w:tc>
        <w:tc>
          <w:tcPr>
            <w:tcW w:w="14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15"/>
                <w:szCs w:val="15"/>
              </w:rPr>
            </w:pP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0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4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0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4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0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4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402" w:hRule="atLeast"/>
        </w:trPr>
        <w:tc>
          <w:tcPr>
            <w:tcW w:w="10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202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4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985"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85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c>
          <w:tcPr>
            <w:tcW w:w="1418"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p>
        </w:tc>
      </w:tr>
    </w:tbl>
    <w:p>
      <w:pPr>
        <w:tabs>
          <w:tab w:val="left" w:pos="660"/>
        </w:tabs>
        <w:spacing w:line="440" w:lineRule="exact"/>
        <w:rPr>
          <w:rFonts w:ascii="仿宋_GB2312" w:hAnsi="宋体" w:eastAsia="仿宋_GB2312"/>
          <w:sz w:val="24"/>
        </w:rPr>
      </w:pPr>
      <w:r>
        <w:rPr>
          <w:rFonts w:hint="eastAsia" w:ascii="仿宋_GB2312" w:hAnsi="宋体" w:eastAsia="仿宋_GB2312"/>
          <w:sz w:val="24"/>
        </w:rPr>
        <w:t xml:space="preserve">2.3.2投标方所提供的产品可以不局限在以上产品范围。                                                         </w:t>
      </w:r>
    </w:p>
    <w:p>
      <w:pPr>
        <w:spacing w:line="400" w:lineRule="exact"/>
        <w:rPr>
          <w:rFonts w:ascii="仿宋_GB2312" w:hAnsi="宋体" w:eastAsia="仿宋_GB2312"/>
          <w:sz w:val="24"/>
        </w:rPr>
      </w:pPr>
      <w:r>
        <w:rPr>
          <w:rFonts w:hint="eastAsia" w:ascii="仿宋_GB2312" w:hAnsi="宋体" w:eastAsia="仿宋_GB2312"/>
          <w:sz w:val="24"/>
        </w:rPr>
        <w:t>2.3.3交货时间：以招标方通知为准</w:t>
      </w:r>
    </w:p>
    <w:p>
      <w:pPr>
        <w:spacing w:line="440" w:lineRule="exact"/>
        <w:rPr>
          <w:rFonts w:ascii="仿宋_GB2312" w:hAnsi="宋体" w:eastAsia="仿宋_GB2312"/>
          <w:sz w:val="24"/>
        </w:rPr>
      </w:pPr>
      <w:r>
        <w:rPr>
          <w:rFonts w:hint="eastAsia" w:ascii="仿宋_GB2312" w:hAnsi="宋体" w:eastAsia="仿宋_GB2312"/>
          <w:sz w:val="24"/>
        </w:rPr>
        <w:t>2.3.4交货地点：</w:t>
      </w:r>
      <w:r>
        <w:rPr>
          <w:rFonts w:hint="eastAsia" w:ascii="仿宋" w:hAnsi="仿宋" w:eastAsia="仿宋" w:cs="仿宋"/>
          <w:spacing w:val="-7"/>
          <w:sz w:val="24"/>
          <w:szCs w:val="24"/>
          <w:u w:val="none"/>
        </w:rPr>
        <w:t>唐山交大园(西南交大研究生院、交大酒店）项目EPC总承包</w:t>
      </w:r>
      <w:r>
        <w:rPr>
          <w:rFonts w:hint="eastAsia" w:ascii="仿宋_GB2312" w:hAnsi="宋体" w:eastAsia="仿宋_GB2312"/>
          <w:sz w:val="24"/>
        </w:rPr>
        <w:t xml:space="preserve">工程施工现场指定地点 </w:t>
      </w:r>
    </w:p>
    <w:p>
      <w:pPr>
        <w:spacing w:line="400" w:lineRule="exact"/>
        <w:rPr>
          <w:rFonts w:ascii="仿宋_GB2312" w:hAnsi="宋体" w:eastAsia="仿宋_GB2312"/>
          <w:sz w:val="24"/>
          <w:u w:val="single"/>
        </w:rPr>
      </w:pPr>
      <w:r>
        <w:rPr>
          <w:rFonts w:hint="eastAsia" w:ascii="仿宋_GB2312" w:hAnsi="宋体" w:eastAsia="仿宋_GB2312"/>
          <w:sz w:val="24"/>
        </w:rPr>
        <w:t>2.4供应方式及数量</w:t>
      </w:r>
    </w:p>
    <w:p>
      <w:pPr>
        <w:spacing w:line="400" w:lineRule="exact"/>
        <w:rPr>
          <w:rFonts w:ascii="仿宋_GB2312" w:hAnsi="宋体" w:eastAsia="仿宋_GB2312"/>
          <w:sz w:val="24"/>
        </w:rPr>
      </w:pPr>
      <w:r>
        <w:rPr>
          <w:rFonts w:hint="eastAsia" w:ascii="仿宋_GB2312" w:hAnsi="宋体" w:eastAsia="仿宋_GB2312"/>
          <w:sz w:val="24"/>
        </w:rPr>
        <w:t>2.4.1供应方式：投标单价包括材料费、出库费、运至现场运费、装卸费、税金、利润等—切杂费。</w:t>
      </w:r>
    </w:p>
    <w:p>
      <w:pPr>
        <w:spacing w:line="400" w:lineRule="exact"/>
        <w:rPr>
          <w:rFonts w:ascii="仿宋_GB2312" w:hAnsi="宋体" w:eastAsia="仿宋_GB2312"/>
          <w:sz w:val="24"/>
        </w:rPr>
      </w:pPr>
      <w:r>
        <w:rPr>
          <w:rFonts w:hint="eastAsia" w:ascii="仿宋_GB2312" w:hAnsi="宋体" w:eastAsia="仿宋_GB2312"/>
          <w:sz w:val="24"/>
        </w:rPr>
        <w:t>2.4.2数量：本次招标见上表</w:t>
      </w:r>
    </w:p>
    <w:p>
      <w:pPr>
        <w:spacing w:line="400" w:lineRule="exact"/>
        <w:rPr>
          <w:rFonts w:ascii="仿宋_GB2312" w:hAnsi="宋体" w:eastAsia="仿宋_GB2312"/>
          <w:sz w:val="24"/>
        </w:rPr>
      </w:pPr>
      <w:r>
        <w:rPr>
          <w:rFonts w:hint="eastAsia" w:ascii="仿宋_GB2312" w:hAnsi="宋体" w:eastAsia="仿宋_GB2312"/>
          <w:sz w:val="24"/>
        </w:rPr>
        <w:t>2.4.3投标方在上述2.3.1所列采购包中选择单项或多项进行投标。</w:t>
      </w:r>
    </w:p>
    <w:p>
      <w:pPr>
        <w:spacing w:line="400" w:lineRule="exact"/>
        <w:rPr>
          <w:rFonts w:ascii="仿宋_GB2312" w:hAnsi="宋体" w:eastAsia="仿宋_GB2312"/>
          <w:sz w:val="24"/>
        </w:rPr>
      </w:pPr>
      <w:r>
        <w:rPr>
          <w:rFonts w:hint="eastAsia" w:ascii="仿宋_GB2312" w:hAnsi="宋体" w:eastAsia="仿宋_GB2312"/>
          <w:sz w:val="24"/>
        </w:rPr>
        <w:t>2.5投标依据：投标方可参照目前市场行情进行报价，可对上述报价方式分别进行报价（必须在报价单中注明报价方式），报价均为运输至招标方施工现场指定地点的落地开票价格。</w:t>
      </w:r>
    </w:p>
    <w:p>
      <w:pPr>
        <w:spacing w:line="400" w:lineRule="exact"/>
        <w:outlineLvl w:val="0"/>
        <w:rPr>
          <w:rFonts w:ascii="仿宋_GB2312" w:hAnsi="宋体" w:eastAsia="仿宋_GB2312"/>
          <w:sz w:val="24"/>
        </w:rPr>
      </w:pPr>
      <w:r>
        <w:rPr>
          <w:rFonts w:hint="eastAsia" w:ascii="仿宋_GB2312" w:hAnsi="宋体" w:eastAsia="仿宋_GB2312"/>
          <w:sz w:val="24"/>
        </w:rPr>
        <w:t xml:space="preserve">第三条 投标报价方式及其它                          </w:t>
      </w:r>
    </w:p>
    <w:p>
      <w:pPr>
        <w:spacing w:line="400" w:lineRule="exact"/>
        <w:rPr>
          <w:rFonts w:ascii="仿宋_GB2312" w:hAnsi="宋体" w:eastAsia="仿宋_GB2312"/>
          <w:sz w:val="24"/>
        </w:rPr>
      </w:pPr>
      <w:r>
        <w:rPr>
          <w:rFonts w:hint="eastAsia" w:ascii="仿宋_GB2312" w:hAnsi="宋体" w:eastAsia="仿宋_GB2312"/>
          <w:sz w:val="24"/>
        </w:rPr>
        <w:t>3.1投标报价方式：本次招标为有标底的招标，对参加投标报价的供应商进行开标。投标单位应根据招标单位的招标文件，结合自身的实际情况及材料市场的现价，合理编制投标报价书。</w:t>
      </w:r>
    </w:p>
    <w:p>
      <w:pPr>
        <w:spacing w:line="400" w:lineRule="exact"/>
        <w:rPr>
          <w:rFonts w:ascii="仿宋_GB2312" w:hAnsi="宋体" w:eastAsia="仿宋_GB2312"/>
          <w:sz w:val="24"/>
        </w:rPr>
      </w:pPr>
      <w:r>
        <w:rPr>
          <w:rFonts w:hint="eastAsia" w:ascii="仿宋_GB2312" w:hAnsi="宋体" w:eastAsia="仿宋_GB2312"/>
          <w:sz w:val="24"/>
        </w:rPr>
        <w:t>3.2投标方在报价书中要具体说明是否能够满足招标文件中的要求并作出详细说明。</w:t>
      </w:r>
    </w:p>
    <w:p>
      <w:pPr>
        <w:spacing w:line="400" w:lineRule="exact"/>
        <w:rPr>
          <w:rFonts w:ascii="仿宋_GB2312" w:hAnsi="宋体" w:eastAsia="仿宋_GB2312"/>
          <w:sz w:val="24"/>
        </w:rPr>
      </w:pPr>
      <w:r>
        <w:rPr>
          <w:rFonts w:hint="eastAsia" w:ascii="仿宋_GB2312" w:hAnsi="宋体" w:eastAsia="仿宋_GB2312"/>
          <w:sz w:val="24"/>
        </w:rPr>
        <w:t>3.3招标方同中标方的结算</w:t>
      </w:r>
      <w:r>
        <w:rPr>
          <w:rFonts w:hint="eastAsia" w:ascii="仿宋_GB2312" w:hAnsi="宋体" w:eastAsia="仿宋_GB2312"/>
          <w:b/>
          <w:sz w:val="24"/>
        </w:rPr>
        <w:t>按实际</w:t>
      </w:r>
      <w:r>
        <w:rPr>
          <w:rFonts w:hint="eastAsia" w:ascii="仿宋_GB2312" w:hAnsi="宋体" w:eastAsia="仿宋_GB2312"/>
          <w:sz w:val="24"/>
        </w:rPr>
        <w:t>供货数量为准。</w:t>
      </w:r>
    </w:p>
    <w:p>
      <w:pPr>
        <w:spacing w:line="400" w:lineRule="exact"/>
        <w:outlineLvl w:val="0"/>
        <w:rPr>
          <w:rFonts w:ascii="仿宋_GB2312" w:hAnsi="宋体" w:eastAsia="仿宋_GB2312"/>
          <w:sz w:val="24"/>
        </w:rPr>
      </w:pPr>
      <w:r>
        <w:rPr>
          <w:rFonts w:hint="eastAsia" w:ascii="仿宋_GB2312" w:hAnsi="宋体" w:eastAsia="仿宋_GB2312"/>
          <w:sz w:val="24"/>
        </w:rPr>
        <w:t>第四条 付款方式（网银付款）</w:t>
      </w:r>
    </w:p>
    <w:p>
      <w:pPr>
        <w:spacing w:line="400" w:lineRule="exact"/>
        <w:rPr>
          <w:rFonts w:ascii="仿宋_GB2312" w:hAnsi="宋体" w:eastAsia="仿宋_GB2312"/>
          <w:sz w:val="24"/>
        </w:rPr>
      </w:pPr>
      <w:r>
        <w:rPr>
          <w:rFonts w:hint="eastAsia" w:ascii="仿宋_GB2312" w:hAnsi="宋体" w:eastAsia="仿宋_GB2312"/>
          <w:sz w:val="24"/>
        </w:rPr>
        <w:t>4.1投标方按以下方式作为结算方式：</w:t>
      </w:r>
    </w:p>
    <w:p>
      <w:pPr>
        <w:spacing w:line="400" w:lineRule="exact"/>
        <w:ind w:firstLine="360" w:firstLineChars="150"/>
        <w:rPr>
          <w:rFonts w:ascii="仿宋_GB2312" w:hAnsi="宋体" w:eastAsia="仿宋_GB2312"/>
          <w:color w:val="0000FF"/>
          <w:sz w:val="24"/>
        </w:rPr>
      </w:pPr>
      <w:r>
        <w:rPr>
          <w:rFonts w:hint="eastAsia" w:ascii="仿宋_GB2312" w:hAnsi="宋体" w:eastAsia="仿宋_GB2312"/>
          <w:color w:val="0000FF"/>
          <w:sz w:val="24"/>
        </w:rPr>
        <w:t>投标方中标后，中标单位供货：</w:t>
      </w:r>
    </w:p>
    <w:p>
      <w:pPr>
        <w:spacing w:line="400" w:lineRule="exact"/>
        <w:rPr>
          <w:rFonts w:ascii="仿宋_GB2312" w:hAnsi="宋体" w:eastAsia="仿宋_GB2312"/>
          <w:color w:val="0000FF"/>
          <w:sz w:val="24"/>
        </w:rPr>
      </w:pPr>
      <w:r>
        <w:rPr>
          <w:rFonts w:hint="eastAsia" w:ascii="仿宋_GB2312" w:hAnsi="宋体" w:eastAsia="仿宋_GB2312"/>
          <w:color w:val="0000FF"/>
          <w:sz w:val="24"/>
        </w:rPr>
        <w:t xml:space="preserve">   结算后三个月支付</w:t>
      </w:r>
      <w:r>
        <w:rPr>
          <w:rFonts w:hint="eastAsia" w:ascii="仿宋_GB2312" w:hAnsi="宋体" w:eastAsia="仿宋_GB2312"/>
          <w:color w:val="0000FF"/>
          <w:sz w:val="24"/>
          <w:lang w:val="en-US" w:eastAsia="zh-CN"/>
        </w:rPr>
        <w:t>第一次</w:t>
      </w:r>
      <w:r>
        <w:rPr>
          <w:rFonts w:hint="eastAsia" w:ascii="仿宋_GB2312" w:hAnsi="宋体" w:eastAsia="仿宋_GB2312"/>
          <w:color w:val="0000FF"/>
          <w:sz w:val="24"/>
        </w:rPr>
        <w:t>结算金额的</w:t>
      </w:r>
      <w:r>
        <w:rPr>
          <w:rFonts w:hint="eastAsia" w:ascii="仿宋_GB2312" w:hAnsi="宋体" w:eastAsia="仿宋_GB2312"/>
          <w:color w:val="0000FF"/>
          <w:sz w:val="24"/>
          <w:lang w:val="en-US" w:eastAsia="zh-CN"/>
        </w:rPr>
        <w:t>75</w:t>
      </w:r>
      <w:r>
        <w:rPr>
          <w:rFonts w:hint="eastAsia" w:ascii="仿宋_GB2312" w:hAnsi="宋体" w:eastAsia="仿宋_GB2312"/>
          <w:color w:val="0000FF"/>
          <w:sz w:val="24"/>
        </w:rPr>
        <w:t>%</w:t>
      </w:r>
      <w:r>
        <w:rPr>
          <w:rFonts w:hint="eastAsia" w:ascii="仿宋_GB2312" w:hAnsi="宋体" w:eastAsia="仿宋_GB2312"/>
          <w:color w:val="0000FF"/>
          <w:sz w:val="24"/>
          <w:lang w:val="en-US" w:eastAsia="zh-CN"/>
        </w:rPr>
        <w:t>以此类推</w:t>
      </w:r>
      <w:r>
        <w:rPr>
          <w:rFonts w:hint="eastAsia" w:ascii="仿宋_GB2312" w:hAnsi="宋体" w:eastAsia="仿宋_GB2312"/>
          <w:color w:val="0000FF"/>
          <w:sz w:val="24"/>
        </w:rPr>
        <w:t>，</w:t>
      </w:r>
      <w:r>
        <w:rPr>
          <w:rFonts w:hint="eastAsia" w:ascii="仿宋_GB2312" w:hAnsi="宋体" w:eastAsia="仿宋_GB2312"/>
          <w:color w:val="0000FF"/>
          <w:sz w:val="24"/>
          <w:lang w:val="en-US" w:eastAsia="zh-CN"/>
        </w:rPr>
        <w:t>安装完毕且投入使用后一个月内支付至结算货款的85%，实体工程竣工备案三个月内支付至该结算货款的95%，其余5%作为质保金，质保期（工程竣工后24个月）满无质量问题无息一次付清</w:t>
      </w:r>
      <w:r>
        <w:rPr>
          <w:rFonts w:hint="eastAsia" w:ascii="仿宋_GB2312" w:hAnsi="宋体" w:eastAsia="仿宋_GB2312"/>
          <w:color w:val="0000FF"/>
          <w:sz w:val="24"/>
        </w:rPr>
        <w:t>。</w:t>
      </w:r>
    </w:p>
    <w:p>
      <w:pPr>
        <w:spacing w:line="400" w:lineRule="exact"/>
        <w:outlineLvl w:val="0"/>
        <w:rPr>
          <w:rFonts w:ascii="仿宋_GB2312" w:hAnsi="宋体" w:eastAsia="仿宋_GB2312"/>
          <w:sz w:val="24"/>
        </w:rPr>
      </w:pPr>
      <w:r>
        <w:rPr>
          <w:rFonts w:hint="eastAsia" w:ascii="仿宋_GB2312" w:hAnsi="宋体" w:eastAsia="仿宋_GB2312"/>
          <w:sz w:val="24"/>
        </w:rPr>
        <w:t>第五条 招标原则</w:t>
      </w:r>
    </w:p>
    <w:p>
      <w:pPr>
        <w:pStyle w:val="11"/>
        <w:spacing w:line="400" w:lineRule="exact"/>
        <w:ind w:firstLine="480" w:firstLineChars="200"/>
        <w:rPr>
          <w:rFonts w:ascii="仿宋_GB2312" w:hAnsi="宋体" w:eastAsia="仿宋_GB2312"/>
          <w:b w:val="0"/>
          <w:bCs w:val="0"/>
        </w:rPr>
      </w:pPr>
      <w:r>
        <w:rPr>
          <w:rFonts w:hint="eastAsia" w:ascii="仿宋_GB2312" w:hAnsi="宋体" w:eastAsia="仿宋_GB2312"/>
          <w:b w:val="0"/>
          <w:bCs w:val="0"/>
        </w:rPr>
        <w:t>本招标为条件竞争招标，即：投标方的报价应被认为完全接受本招标文件的要求及条件，同时投标方可根据招标单位提出的基本条件进一步深化编制投标文件，提出新的条件目标和保证实现目标的措施。投标文件所提出的条件目标的竞争性，将提高投标的竞争力，我方将对投标方的供应能力、以往的履约情况、信誉、材料质量及服务质量、价格等进行综合考评。</w:t>
      </w:r>
    </w:p>
    <w:p>
      <w:pPr>
        <w:spacing w:line="400" w:lineRule="exact"/>
        <w:outlineLvl w:val="0"/>
        <w:rPr>
          <w:rFonts w:ascii="仿宋_GB2312" w:hAnsi="宋体" w:eastAsia="仿宋_GB2312"/>
          <w:sz w:val="24"/>
        </w:rPr>
      </w:pPr>
      <w:r>
        <w:rPr>
          <w:rFonts w:hint="eastAsia" w:ascii="仿宋_GB2312" w:hAnsi="宋体" w:eastAsia="仿宋_GB2312"/>
          <w:sz w:val="24"/>
        </w:rPr>
        <w:t>第六条 技术标准、准则和交货要求</w:t>
      </w:r>
    </w:p>
    <w:p>
      <w:pPr>
        <w:pStyle w:val="3"/>
        <w:spacing w:before="156"/>
      </w:pPr>
      <w:r>
        <w:rPr>
          <w:rFonts w:hint="eastAsia" w:ascii="仿宋_GB2312" w:hAnsi="宋体" w:eastAsia="仿宋_GB2312"/>
          <w:sz w:val="24"/>
        </w:rPr>
        <w:t>6.1质量标准：</w:t>
      </w:r>
      <w:r>
        <w:rPr>
          <w:rFonts w:hint="eastAsia"/>
        </w:rPr>
        <w:t>具体为</w:t>
      </w:r>
      <w:r>
        <w:rPr>
          <w:rFonts w:hint="eastAsia" w:ascii="仿宋_GB2312" w:hAnsi="宋体" w:eastAsia="仿宋_GB2312" w:cs="Times New Roman"/>
          <w:b/>
          <w:bCs w:val="0"/>
          <w:kern w:val="2"/>
          <w:sz w:val="24"/>
          <w:szCs w:val="24"/>
        </w:rPr>
        <w:t>项目设计图纸标准</w:t>
      </w:r>
      <w:r>
        <w:rPr>
          <w:rFonts w:hint="eastAsia" w:ascii="仿宋_GB2312" w:hAnsi="宋体" w:eastAsia="仿宋_GB2312" w:cs="Times New Roman"/>
          <w:bCs w:val="0"/>
          <w:kern w:val="2"/>
          <w:sz w:val="24"/>
          <w:szCs w:val="24"/>
        </w:rPr>
        <w:t xml:space="preserve"> </w:t>
      </w:r>
    </w:p>
    <w:p>
      <w:pPr>
        <w:spacing w:line="400" w:lineRule="exact"/>
        <w:rPr>
          <w:rFonts w:ascii="仿宋_GB2312" w:eastAsia="仿宋_GB2312"/>
          <w:kern w:val="0"/>
          <w:sz w:val="24"/>
        </w:rPr>
      </w:pPr>
      <w:r>
        <w:rPr>
          <w:rFonts w:hint="eastAsia" w:ascii="仿宋_GB2312" w:hAnsi="宋体" w:eastAsia="仿宋_GB2312"/>
          <w:sz w:val="24"/>
        </w:rPr>
        <w:t xml:space="preserve"> 6.2质量基本条件：材料质量应严格符合设计、招标文件有关工程施工及验收规范的要求，同时材料质量及服务必须满足我方为保证工程质量而对质量、服务等方面提出的各种进一步要求。</w:t>
      </w:r>
    </w:p>
    <w:p>
      <w:pPr>
        <w:spacing w:line="400" w:lineRule="exact"/>
        <w:rPr>
          <w:rFonts w:ascii="仿宋_GB2312" w:hAnsi="宋体" w:eastAsia="仿宋_GB2312"/>
          <w:sz w:val="24"/>
        </w:rPr>
      </w:pPr>
      <w:r>
        <w:rPr>
          <w:rFonts w:hint="eastAsia" w:ascii="仿宋_GB2312" w:hAnsi="宋体" w:eastAsia="仿宋_GB2312"/>
          <w:sz w:val="24"/>
        </w:rPr>
        <w:t>6.3材质证明书：保证材质证明书随货同行，并符合国家标准。</w:t>
      </w:r>
    </w:p>
    <w:p>
      <w:pPr>
        <w:spacing w:line="400" w:lineRule="exact"/>
        <w:rPr>
          <w:rFonts w:ascii="仿宋_GB2312" w:hAnsi="宋体" w:eastAsia="仿宋_GB2312"/>
          <w:sz w:val="24"/>
        </w:rPr>
      </w:pPr>
      <w:r>
        <w:rPr>
          <w:rFonts w:hint="eastAsia" w:ascii="仿宋_GB2312" w:hAnsi="宋体" w:eastAsia="仿宋_GB2312"/>
          <w:sz w:val="24"/>
        </w:rPr>
        <w:t>6.4服务质量：投标方应严格执行招标方随时提出的计划要求，并对我方对质量配合等提出的问题及时予以解决。</w:t>
      </w:r>
    </w:p>
    <w:p>
      <w:pPr>
        <w:spacing w:line="400" w:lineRule="exact"/>
        <w:rPr>
          <w:rFonts w:ascii="仿宋_GB2312" w:hAnsi="宋体" w:eastAsia="仿宋_GB2312"/>
          <w:sz w:val="24"/>
        </w:rPr>
      </w:pPr>
      <w:r>
        <w:rPr>
          <w:rFonts w:hint="eastAsia" w:ascii="仿宋_GB2312" w:hAnsi="宋体" w:eastAsia="仿宋_GB2312"/>
          <w:sz w:val="24"/>
        </w:rPr>
        <w:t>6.5数量保证：严格按国家标准交货。</w:t>
      </w:r>
    </w:p>
    <w:p>
      <w:pPr>
        <w:spacing w:line="400" w:lineRule="exact"/>
        <w:rPr>
          <w:rFonts w:ascii="仿宋_GB2312" w:hAnsi="宋体" w:eastAsia="仿宋_GB2312"/>
          <w:sz w:val="24"/>
        </w:rPr>
      </w:pPr>
    </w:p>
    <w:p>
      <w:pPr>
        <w:spacing w:line="400" w:lineRule="exact"/>
        <w:rPr>
          <w:rFonts w:ascii="仿宋_GB2312" w:hAnsi="宋体" w:eastAsia="仿宋_GB2312"/>
          <w:sz w:val="24"/>
        </w:rPr>
      </w:pPr>
      <w:r>
        <w:rPr>
          <w:rFonts w:hint="eastAsia" w:ascii="仿宋_GB2312" w:hAnsi="宋体" w:eastAsia="仿宋_GB2312"/>
          <w:sz w:val="24"/>
        </w:rPr>
        <w:t>第七条 投标的其他基本条件及要求</w:t>
      </w:r>
    </w:p>
    <w:p>
      <w:pPr>
        <w:spacing w:line="400" w:lineRule="exact"/>
        <w:rPr>
          <w:rFonts w:ascii="仿宋_GB2312" w:hAnsi="宋体" w:eastAsia="仿宋_GB2312"/>
          <w:sz w:val="24"/>
        </w:rPr>
      </w:pPr>
      <w:r>
        <w:rPr>
          <w:rFonts w:hint="eastAsia" w:ascii="仿宋_GB2312" w:hAnsi="宋体" w:eastAsia="仿宋_GB2312"/>
          <w:sz w:val="24"/>
        </w:rPr>
        <w:t>7.1场地基本条件：本公司承接的工程为综合楼，投标方必须到施工现场进行实际考察，并结合现场的实际情况进行投标报价，投标方一旦中标后，不得以现场条件等为借口延期交货或要求增加费用等。</w:t>
      </w:r>
    </w:p>
    <w:p>
      <w:pPr>
        <w:spacing w:line="400" w:lineRule="exact"/>
        <w:rPr>
          <w:rFonts w:ascii="仿宋_GB2312" w:hAnsi="宋体" w:eastAsia="仿宋_GB2312"/>
          <w:sz w:val="24"/>
        </w:rPr>
      </w:pPr>
      <w:r>
        <w:rPr>
          <w:rFonts w:hint="eastAsia" w:ascii="仿宋_GB2312" w:hAnsi="宋体" w:eastAsia="仿宋_GB2312"/>
          <w:sz w:val="24"/>
        </w:rPr>
        <w:t>7.2供应期基本条件：为</w:t>
      </w:r>
      <w:r>
        <w:rPr>
          <w:rFonts w:hint="eastAsia" w:ascii="仿宋_GB2312" w:hAnsi="宋体" w:eastAsia="仿宋_GB2312"/>
          <w:sz w:val="24"/>
          <w:u w:val="single"/>
        </w:rPr>
        <w:t xml:space="preserve"> 20</w:t>
      </w:r>
      <w:r>
        <w:rPr>
          <w:rFonts w:hint="eastAsia" w:ascii="仿宋_GB2312" w:hAnsi="宋体" w:eastAsia="仿宋_GB2312"/>
          <w:sz w:val="24"/>
          <w:u w:val="single"/>
          <w:lang w:val="en-US" w:eastAsia="zh-CN"/>
        </w:rPr>
        <w:t>20</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u w:val="single"/>
          <w:lang w:val="en-US" w:eastAsia="zh-CN"/>
        </w:rPr>
        <w:t>7</w:t>
      </w:r>
      <w:r>
        <w:rPr>
          <w:rFonts w:hint="eastAsia" w:ascii="仿宋_GB2312" w:hAnsi="宋体" w:eastAsia="仿宋_GB2312"/>
          <w:sz w:val="24"/>
        </w:rPr>
        <w:t>月至</w:t>
      </w:r>
      <w:r>
        <w:rPr>
          <w:rFonts w:hint="eastAsia" w:ascii="仿宋_GB2312" w:hAnsi="宋体" w:eastAsia="仿宋_GB2312"/>
          <w:sz w:val="24"/>
          <w:u w:val="single"/>
        </w:rPr>
        <w:t xml:space="preserve">   20</w:t>
      </w:r>
      <w:r>
        <w:rPr>
          <w:rFonts w:hint="eastAsia" w:ascii="仿宋_GB2312" w:hAnsi="宋体" w:eastAsia="仿宋_GB2312"/>
          <w:sz w:val="24"/>
          <w:u w:val="single"/>
          <w:lang w:val="en-US" w:eastAsia="zh-CN"/>
        </w:rPr>
        <w:t>21</w:t>
      </w:r>
      <w:r>
        <w:rPr>
          <w:rFonts w:hint="eastAsia" w:ascii="仿宋_GB2312" w:hAnsi="宋体" w:eastAsia="仿宋_GB2312"/>
          <w:sz w:val="24"/>
          <w:u w:val="single"/>
        </w:rPr>
        <w:t xml:space="preserve"> </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u w:val="single"/>
          <w:lang w:val="en-US" w:eastAsia="zh-CN"/>
        </w:rPr>
        <w:t>7</w:t>
      </w:r>
      <w:r>
        <w:rPr>
          <w:rFonts w:hint="eastAsia" w:ascii="仿宋_GB2312" w:hAnsi="宋体" w:eastAsia="仿宋_GB2312"/>
          <w:sz w:val="24"/>
          <w:u w:val="single"/>
        </w:rPr>
        <w:t xml:space="preserve"> </w:t>
      </w:r>
      <w:r>
        <w:rPr>
          <w:rFonts w:hint="eastAsia" w:ascii="仿宋_GB2312" w:hAnsi="宋体" w:eastAsia="仿宋_GB2312"/>
          <w:sz w:val="24"/>
        </w:rPr>
        <w:t>月。投标方一经中标，必须保证严格按照招标方提出的要求按时完成</w:t>
      </w:r>
      <w:r>
        <w:rPr>
          <w:rFonts w:hint="eastAsia" w:ascii="仿宋_GB2312" w:hAnsi="宋体" w:eastAsia="仿宋_GB2312"/>
          <w:sz w:val="24"/>
          <w:lang w:val="en-US" w:eastAsia="zh-CN"/>
        </w:rPr>
        <w:t>电缆</w:t>
      </w:r>
      <w:r>
        <w:rPr>
          <w:rFonts w:hint="eastAsia" w:ascii="仿宋_GB2312" w:hAnsi="宋体" w:eastAsia="仿宋_GB2312"/>
          <w:sz w:val="24"/>
        </w:rPr>
        <w:t>的供应工作。</w:t>
      </w:r>
    </w:p>
    <w:p>
      <w:pPr>
        <w:spacing w:line="400" w:lineRule="exact"/>
        <w:rPr>
          <w:rFonts w:ascii="仿宋_GB2312" w:hAnsi="宋体" w:eastAsia="仿宋_GB2312"/>
          <w:sz w:val="24"/>
        </w:rPr>
      </w:pPr>
      <w:r>
        <w:rPr>
          <w:rFonts w:hint="eastAsia" w:ascii="仿宋_GB2312" w:hAnsi="宋体" w:eastAsia="仿宋_GB2312"/>
          <w:sz w:val="24"/>
        </w:rPr>
        <w:t>7.3安全基本条件：投标方必须对自身出入现场的人员进行安全交底，对因非总包方原因造成的安全事故承担全部责任，</w:t>
      </w:r>
    </w:p>
    <w:p>
      <w:pPr>
        <w:spacing w:line="400" w:lineRule="exact"/>
        <w:rPr>
          <w:rFonts w:ascii="仿宋_GB2312" w:hAnsi="宋体" w:eastAsia="仿宋_GB2312"/>
          <w:sz w:val="24"/>
        </w:rPr>
      </w:pPr>
      <w:r>
        <w:rPr>
          <w:rFonts w:hint="eastAsia" w:ascii="仿宋_GB2312" w:hAnsi="宋体" w:eastAsia="仿宋_GB2312"/>
          <w:sz w:val="24"/>
        </w:rPr>
        <w:t>第八条 投标注意事项</w:t>
      </w:r>
    </w:p>
    <w:p>
      <w:pPr>
        <w:spacing w:line="400" w:lineRule="exact"/>
        <w:rPr>
          <w:rFonts w:ascii="仿宋_GB2312" w:hAnsi="宋体" w:eastAsia="仿宋_GB2312"/>
          <w:sz w:val="24"/>
        </w:rPr>
      </w:pPr>
      <w:r>
        <w:rPr>
          <w:rFonts w:hint="eastAsia" w:ascii="仿宋_GB2312" w:hAnsi="宋体" w:eastAsia="仿宋_GB2312"/>
          <w:sz w:val="24"/>
        </w:rPr>
        <w:t>8.1参加投标的单位必须是具有独立法人资格的经济实体，身为代理商的投标方并应出示其代理产品代理证（或代理信）。投标方供应的材料质量必须达到招标方要求，供应时间应满足总包方对工程进度的要求，有能力实现这两个目标的投标方才有投标资格。</w:t>
      </w:r>
    </w:p>
    <w:p>
      <w:pPr>
        <w:spacing w:line="400" w:lineRule="exact"/>
        <w:rPr>
          <w:rFonts w:ascii="仿宋_GB2312" w:hAnsi="宋体" w:eastAsia="仿宋_GB2312"/>
          <w:sz w:val="24"/>
        </w:rPr>
      </w:pPr>
      <w:r>
        <w:rPr>
          <w:rFonts w:hint="eastAsia" w:ascii="仿宋_GB2312" w:hAnsi="宋体" w:eastAsia="仿宋_GB2312"/>
          <w:sz w:val="24"/>
        </w:rPr>
        <w:t>8.2投标方须按招标文件的要求报价及提供各种所需资料和样品，报价若含有与招标文件各项规定不符的额外要求，则其投标可能不被考虑。如果有任何其他建议，可另外列明该等建议及其对工期及报价的影响。</w:t>
      </w:r>
    </w:p>
    <w:p>
      <w:pPr>
        <w:spacing w:line="400" w:lineRule="exact"/>
        <w:rPr>
          <w:rFonts w:ascii="仿宋_GB2312" w:hAnsi="宋体" w:eastAsia="仿宋_GB2312"/>
          <w:sz w:val="24"/>
        </w:rPr>
      </w:pPr>
      <w:r>
        <w:rPr>
          <w:rFonts w:hint="eastAsia" w:ascii="仿宋_GB2312" w:hAnsi="宋体" w:eastAsia="仿宋_GB2312"/>
          <w:sz w:val="24"/>
        </w:rPr>
        <w:t>8.3若投标方在递交报价后发觉有错误，可更正，该更正只要在截止投标前完成，便可获接纳。</w:t>
      </w:r>
    </w:p>
    <w:p>
      <w:pPr>
        <w:spacing w:line="400" w:lineRule="exact"/>
        <w:rPr>
          <w:rFonts w:ascii="仿宋_GB2312" w:hAnsi="宋体" w:eastAsia="仿宋_GB2312"/>
          <w:sz w:val="24"/>
        </w:rPr>
      </w:pPr>
      <w:r>
        <w:rPr>
          <w:rFonts w:hint="eastAsia" w:ascii="仿宋_GB2312" w:hAnsi="宋体" w:eastAsia="仿宋_GB2312"/>
          <w:sz w:val="24"/>
        </w:rPr>
        <w:t>8.4开标后招标方发现投标有任何错误或疑问，可以向投标方发出询问，但询问并不表示改变投标文件，亦不减少投标方的任何责任。对于此种询问，投标方应在收到后两天内予以书面答复。</w:t>
      </w:r>
    </w:p>
    <w:p>
      <w:pPr>
        <w:spacing w:line="400" w:lineRule="exact"/>
        <w:rPr>
          <w:rFonts w:ascii="仿宋_GB2312" w:hAnsi="宋体" w:eastAsia="仿宋_GB2312"/>
          <w:sz w:val="24"/>
        </w:rPr>
      </w:pPr>
      <w:r>
        <w:rPr>
          <w:rFonts w:hint="eastAsia" w:ascii="仿宋_GB2312" w:hAnsi="宋体" w:eastAsia="仿宋_GB2312"/>
          <w:sz w:val="24"/>
        </w:rPr>
        <w:t>8.5在招标过程中招标方发出的对于各种疑问解答的文件及其他补充文件，将记录在云筑网上至各个投标方，并构成招标文件不可缺少的组成部分。</w:t>
      </w:r>
    </w:p>
    <w:p>
      <w:pPr>
        <w:spacing w:line="400" w:lineRule="exact"/>
        <w:rPr>
          <w:rFonts w:ascii="仿宋_GB2312" w:hAnsi="宋体" w:eastAsia="仿宋_GB2312"/>
          <w:sz w:val="24"/>
        </w:rPr>
      </w:pPr>
      <w:r>
        <w:rPr>
          <w:rFonts w:hint="eastAsia" w:ascii="仿宋_GB2312" w:hAnsi="宋体" w:eastAsia="仿宋_GB2312"/>
          <w:sz w:val="24"/>
        </w:rPr>
        <w:t>8.6招标文件所附的合同条件未列明的细节，投标方可提交建议，双方协商确定。</w:t>
      </w:r>
    </w:p>
    <w:p>
      <w:pPr>
        <w:spacing w:line="400" w:lineRule="exact"/>
        <w:rPr>
          <w:rFonts w:ascii="仿宋_GB2312" w:hAnsi="宋体" w:eastAsia="仿宋_GB2312"/>
          <w:sz w:val="24"/>
        </w:rPr>
      </w:pPr>
      <w:r>
        <w:rPr>
          <w:rFonts w:hint="eastAsia" w:ascii="仿宋_GB2312" w:hAnsi="宋体" w:eastAsia="仿宋_GB2312"/>
          <w:sz w:val="24"/>
        </w:rPr>
        <w:t>8.7投标方为本次投标引起的任何费用，招标方均不予承担。</w:t>
      </w:r>
    </w:p>
    <w:p>
      <w:pPr>
        <w:spacing w:line="400" w:lineRule="exact"/>
        <w:rPr>
          <w:rFonts w:ascii="仿宋_GB2312" w:hAnsi="宋体" w:eastAsia="仿宋_GB2312"/>
          <w:sz w:val="24"/>
        </w:rPr>
      </w:pPr>
      <w:r>
        <w:rPr>
          <w:rFonts w:hint="eastAsia" w:ascii="仿宋_GB2312" w:hAnsi="宋体" w:eastAsia="仿宋_GB2312"/>
          <w:sz w:val="24"/>
        </w:rPr>
        <w:t>8.8投标书的逾期</w:t>
      </w:r>
    </w:p>
    <w:p>
      <w:pPr>
        <w:spacing w:line="400" w:lineRule="exact"/>
        <w:rPr>
          <w:rFonts w:ascii="仿宋_GB2312" w:hAnsi="宋体" w:eastAsia="仿宋_GB2312"/>
          <w:sz w:val="24"/>
        </w:rPr>
      </w:pPr>
      <w:r>
        <w:rPr>
          <w:rFonts w:hint="eastAsia" w:ascii="仿宋_GB2312" w:hAnsi="宋体" w:eastAsia="仿宋_GB2312"/>
          <w:sz w:val="24"/>
        </w:rPr>
        <w:t>投标方必须按照招标方要求的时间投标，逾期将不被接受。</w:t>
      </w:r>
    </w:p>
    <w:p>
      <w:pPr>
        <w:spacing w:line="400" w:lineRule="exact"/>
        <w:rPr>
          <w:rFonts w:ascii="仿宋_GB2312" w:hAnsi="宋体" w:eastAsia="仿宋_GB2312"/>
          <w:sz w:val="24"/>
        </w:rPr>
      </w:pPr>
      <w:r>
        <w:rPr>
          <w:rFonts w:hint="eastAsia" w:ascii="仿宋_GB2312" w:hAnsi="宋体" w:eastAsia="仿宋_GB2312"/>
          <w:sz w:val="24"/>
        </w:rPr>
        <w:t>8.9投标方的投标文件一旦被接受，本招标文件连同投标方的投标文件将构成对双方具有法律约束力的文件。</w:t>
      </w:r>
    </w:p>
    <w:p>
      <w:pPr>
        <w:spacing w:line="400" w:lineRule="exact"/>
        <w:rPr>
          <w:rFonts w:ascii="仿宋_GB2312" w:hAnsi="宋体" w:eastAsia="仿宋_GB2312"/>
          <w:sz w:val="24"/>
        </w:rPr>
      </w:pPr>
      <w:r>
        <w:rPr>
          <w:rFonts w:hint="eastAsia" w:ascii="仿宋_GB2312" w:hAnsi="宋体" w:eastAsia="仿宋_GB2312"/>
          <w:sz w:val="24"/>
        </w:rPr>
        <w:t>第九条 投标工作程序</w:t>
      </w:r>
    </w:p>
    <w:p>
      <w:pPr>
        <w:spacing w:line="400" w:lineRule="exact"/>
        <w:rPr>
          <w:rFonts w:ascii="仿宋_GB2312" w:hAnsi="宋体" w:eastAsia="仿宋_GB2312"/>
          <w:sz w:val="24"/>
        </w:rPr>
      </w:pPr>
      <w:r>
        <w:rPr>
          <w:rFonts w:hint="eastAsia" w:ascii="仿宋_GB2312" w:hAnsi="宋体" w:eastAsia="仿宋_GB2312"/>
          <w:sz w:val="24"/>
        </w:rPr>
        <w:t>9.1程序安排</w:t>
      </w:r>
    </w:p>
    <w:p>
      <w:pPr>
        <w:spacing w:line="400" w:lineRule="exact"/>
        <w:rPr>
          <w:rFonts w:ascii="仿宋_GB2312" w:hAnsi="宋体" w:eastAsia="仿宋_GB2312"/>
          <w:sz w:val="24"/>
        </w:rPr>
      </w:pPr>
      <w:r>
        <w:rPr>
          <w:rFonts w:hint="eastAsia" w:ascii="仿宋_GB2312" w:hAnsi="宋体" w:eastAsia="仿宋_GB2312"/>
          <w:sz w:val="24"/>
        </w:rPr>
        <w:t>9.1.1各投标方必须于</w:t>
      </w:r>
      <w:r>
        <w:rPr>
          <w:rFonts w:hint="eastAsia" w:ascii="仿宋_GB2312" w:hAnsi="宋体" w:eastAsia="仿宋_GB2312"/>
          <w:sz w:val="24"/>
          <w:u w:val="single"/>
        </w:rPr>
        <w:t xml:space="preserve"> </w:t>
      </w:r>
      <w:r>
        <w:rPr>
          <w:rFonts w:hint="eastAsia" w:ascii="仿宋_GB2312" w:hAnsi="宋体" w:eastAsia="仿宋_GB2312"/>
          <w:sz w:val="24"/>
          <w:u w:val="single"/>
          <w:lang w:val="en-US" w:eastAsia="zh-CN"/>
        </w:rPr>
        <w:t>2020</w:t>
      </w:r>
      <w:r>
        <w:rPr>
          <w:rFonts w:hint="eastAsia" w:ascii="仿宋_GB2312" w:hAnsi="宋体" w:eastAsia="仿宋_GB2312"/>
          <w:sz w:val="24"/>
        </w:rPr>
        <w:t>年</w:t>
      </w:r>
      <w:r>
        <w:rPr>
          <w:rFonts w:hint="eastAsia" w:ascii="仿宋_GB2312" w:hAnsi="宋体" w:eastAsia="仿宋_GB2312"/>
          <w:sz w:val="24"/>
          <w:u w:val="single"/>
        </w:rPr>
        <w:t xml:space="preserve">  </w:t>
      </w:r>
      <w:r>
        <w:rPr>
          <w:rFonts w:hint="eastAsia" w:ascii="仿宋_GB2312" w:hAnsi="宋体" w:eastAsia="仿宋_GB2312"/>
          <w:sz w:val="24"/>
          <w:u w:val="single"/>
          <w:lang w:val="en-US" w:eastAsia="zh-CN"/>
        </w:rPr>
        <w:t>7</w:t>
      </w:r>
      <w:r>
        <w:rPr>
          <w:rFonts w:hint="eastAsia" w:ascii="仿宋_GB2312" w:hAnsi="宋体" w:eastAsia="仿宋_GB2312"/>
          <w:sz w:val="24"/>
        </w:rPr>
        <w:t>月</w:t>
      </w:r>
      <w:r>
        <w:rPr>
          <w:rFonts w:hint="eastAsia" w:ascii="仿宋_GB2312" w:hAnsi="宋体" w:eastAsia="仿宋_GB2312"/>
          <w:sz w:val="24"/>
          <w:u w:val="single"/>
        </w:rPr>
        <w:t xml:space="preserve"> </w:t>
      </w:r>
      <w:r>
        <w:rPr>
          <w:rFonts w:hint="eastAsia" w:ascii="仿宋_GB2312" w:hAnsi="宋体" w:eastAsia="仿宋_GB2312"/>
          <w:sz w:val="24"/>
          <w:u w:val="single"/>
          <w:lang w:val="en-US" w:eastAsia="zh-CN"/>
        </w:rPr>
        <w:t>7</w:t>
      </w:r>
      <w:r>
        <w:rPr>
          <w:rFonts w:hint="eastAsia" w:ascii="仿宋_GB2312" w:hAnsi="宋体" w:eastAsia="仿宋_GB2312"/>
          <w:sz w:val="24"/>
        </w:rPr>
        <w:t>日</w:t>
      </w:r>
      <w:r>
        <w:rPr>
          <w:rFonts w:hint="eastAsia" w:ascii="仿宋_GB2312" w:hAnsi="宋体" w:eastAsia="仿宋_GB2312"/>
          <w:sz w:val="24"/>
          <w:u w:val="single"/>
        </w:rPr>
        <w:t xml:space="preserve"> 16 </w:t>
      </w:r>
      <w:r>
        <w:rPr>
          <w:rFonts w:hint="eastAsia" w:ascii="仿宋_GB2312" w:hAnsi="宋体" w:eastAsia="仿宋_GB2312"/>
          <w:sz w:val="24"/>
        </w:rPr>
        <w:t>时前准时投标。</w:t>
      </w:r>
    </w:p>
    <w:p>
      <w:pPr>
        <w:spacing w:line="400" w:lineRule="exact"/>
        <w:rPr>
          <w:rFonts w:ascii="仿宋_GB2312" w:hAnsi="宋体" w:eastAsia="仿宋_GB2312"/>
          <w:sz w:val="24"/>
        </w:rPr>
      </w:pPr>
      <w:r>
        <w:rPr>
          <w:rFonts w:hint="eastAsia" w:ascii="仿宋_GB2312" w:hAnsi="宋体" w:eastAsia="仿宋_GB2312"/>
          <w:sz w:val="24"/>
        </w:rPr>
        <w:t>9.1.2投标地点：</w:t>
      </w:r>
      <w:r>
        <w:rPr>
          <w:rFonts w:hint="eastAsia" w:ascii="仿宋_GB2312" w:hAnsi="宋体" w:eastAsia="仿宋_GB2312"/>
          <w:sz w:val="24"/>
          <w:u w:val="single"/>
        </w:rPr>
        <w:t xml:space="preserve">  </w:t>
      </w:r>
      <w:r>
        <w:rPr>
          <w:rFonts w:hint="eastAsia"/>
          <w:u w:val="single"/>
        </w:rPr>
        <w:t>中建总公司的云筑网</w:t>
      </w:r>
      <w:r>
        <w:rPr>
          <w:rFonts w:hint="eastAsia" w:ascii="仿宋_GB2312" w:hAnsi="宋体" w:eastAsia="仿宋_GB2312"/>
          <w:sz w:val="24"/>
        </w:rPr>
        <w:t>。</w:t>
      </w:r>
    </w:p>
    <w:p>
      <w:pPr>
        <w:spacing w:line="400" w:lineRule="exact"/>
        <w:rPr>
          <w:rFonts w:ascii="仿宋_GB2312" w:hAnsi="宋体" w:eastAsia="仿宋_GB2312"/>
          <w:sz w:val="24"/>
        </w:rPr>
      </w:pPr>
      <w:r>
        <w:rPr>
          <w:rFonts w:hint="eastAsia" w:ascii="仿宋_GB2312" w:hAnsi="宋体" w:eastAsia="仿宋_GB2312"/>
          <w:sz w:val="24"/>
        </w:rPr>
        <w:t>9.1.3联系人：</w:t>
      </w:r>
      <w:r>
        <w:rPr>
          <w:rFonts w:hint="eastAsia" w:ascii="仿宋_GB2312" w:hAnsi="宋体" w:eastAsia="仿宋_GB2312"/>
          <w:sz w:val="24"/>
          <w:u w:val="single"/>
        </w:rPr>
        <w:t xml:space="preserve"> </w:t>
      </w:r>
      <w:r>
        <w:rPr>
          <w:rFonts w:hint="eastAsia" w:ascii="仿宋_GB2312" w:hAnsi="宋体" w:eastAsia="仿宋_GB2312"/>
          <w:sz w:val="24"/>
          <w:u w:val="single"/>
          <w:lang w:val="en-US" w:eastAsia="zh-CN"/>
        </w:rPr>
        <w:t>于洪伟</w:t>
      </w:r>
      <w:r>
        <w:rPr>
          <w:rFonts w:hint="eastAsia" w:ascii="仿宋_GB2312" w:hAnsi="宋体" w:eastAsia="仿宋_GB2312"/>
          <w:sz w:val="24"/>
          <w:u w:val="single"/>
        </w:rPr>
        <w:tab/>
      </w:r>
      <w:r>
        <w:rPr>
          <w:rFonts w:hint="eastAsia" w:ascii="仿宋_GB2312" w:hAnsi="宋体" w:eastAsia="仿宋_GB2312"/>
          <w:sz w:val="24"/>
          <w:u w:val="single"/>
        </w:rPr>
        <w:t xml:space="preserve">  </w:t>
      </w:r>
      <w:r>
        <w:rPr>
          <w:rFonts w:hint="eastAsia" w:ascii="仿宋_GB2312" w:hAnsi="宋体" w:eastAsia="仿宋_GB2312"/>
          <w:sz w:val="24"/>
        </w:rPr>
        <w:t>手机：</w:t>
      </w:r>
      <w:r>
        <w:rPr>
          <w:rFonts w:hint="eastAsia" w:ascii="仿宋_GB2312" w:hAnsi="宋体" w:eastAsia="仿宋_GB2312"/>
          <w:sz w:val="24"/>
          <w:u w:val="single"/>
        </w:rPr>
        <w:t xml:space="preserve">  </w:t>
      </w:r>
      <w:r>
        <w:rPr>
          <w:rFonts w:hint="eastAsia" w:ascii="仿宋_GB2312" w:hAnsi="宋体" w:eastAsia="仿宋_GB2312"/>
          <w:sz w:val="24"/>
          <w:u w:val="single"/>
          <w:lang w:val="en-US" w:eastAsia="zh-CN"/>
        </w:rPr>
        <w:t>15010516099</w:t>
      </w:r>
      <w:r>
        <w:rPr>
          <w:rFonts w:hint="eastAsia" w:ascii="仿宋_GB2312" w:hAnsi="宋体" w:eastAsia="仿宋_GB2312"/>
          <w:sz w:val="24"/>
          <w:u w:val="single"/>
        </w:rPr>
        <w:t xml:space="preserve"> </w:t>
      </w:r>
      <w:r>
        <w:rPr>
          <w:rFonts w:hint="eastAsia" w:ascii="仿宋_GB2312" w:hAnsi="宋体" w:eastAsia="仿宋_GB2312"/>
          <w:sz w:val="24"/>
        </w:rPr>
        <w:t xml:space="preserve">    </w:t>
      </w:r>
    </w:p>
    <w:p>
      <w:pPr>
        <w:spacing w:line="400" w:lineRule="exact"/>
        <w:rPr>
          <w:rFonts w:ascii="仿宋_GB2312" w:hAnsi="宋体" w:eastAsia="仿宋_GB2312"/>
          <w:sz w:val="24"/>
        </w:rPr>
      </w:pPr>
      <w:r>
        <w:rPr>
          <w:rFonts w:hint="eastAsia" w:ascii="仿宋_GB2312" w:hAnsi="宋体" w:eastAsia="仿宋_GB2312"/>
          <w:sz w:val="24"/>
        </w:rPr>
        <w:t>9.2注意事项</w:t>
      </w:r>
    </w:p>
    <w:p>
      <w:pPr>
        <w:spacing w:line="400" w:lineRule="exact"/>
        <w:rPr>
          <w:rFonts w:ascii="仿宋_GB2312" w:hAnsi="宋体" w:eastAsia="仿宋_GB2312"/>
          <w:sz w:val="24"/>
        </w:rPr>
      </w:pPr>
      <w:r>
        <w:rPr>
          <w:rFonts w:hint="eastAsia" w:ascii="仿宋_GB2312" w:hAnsi="宋体" w:eastAsia="仿宋_GB2312"/>
          <w:sz w:val="24"/>
        </w:rPr>
        <w:t>9.2.1投标方必须于上述注明的日期前投标，逾期无效。</w:t>
      </w:r>
      <w:bookmarkStart w:id="0" w:name="_GoBack"/>
      <w:bookmarkEnd w:id="0"/>
    </w:p>
    <w:p>
      <w:pPr>
        <w:spacing w:line="400" w:lineRule="exact"/>
        <w:rPr>
          <w:rFonts w:ascii="仿宋_GB2312" w:hAnsi="宋体" w:eastAsia="仿宋_GB2312"/>
          <w:sz w:val="24"/>
        </w:rPr>
      </w:pPr>
      <w:r>
        <w:rPr>
          <w:rFonts w:hint="eastAsia" w:ascii="仿宋_GB2312" w:hAnsi="宋体" w:eastAsia="仿宋_GB2312"/>
          <w:sz w:val="24"/>
        </w:rPr>
        <w:t>9.2.2若投标方中标，作为流通商的中标方应向招标方缴纳金额为</w:t>
      </w:r>
      <w:r>
        <w:rPr>
          <w:rFonts w:hint="eastAsia" w:ascii="仿宋_GB2312" w:hAnsi="宋体" w:eastAsia="仿宋_GB2312"/>
          <w:sz w:val="24"/>
          <w:u w:val="single"/>
        </w:rPr>
        <w:t xml:space="preserve"> / </w:t>
      </w:r>
      <w:r>
        <w:rPr>
          <w:rFonts w:hint="eastAsia" w:ascii="仿宋_GB2312" w:hAnsi="宋体" w:eastAsia="仿宋_GB2312"/>
          <w:sz w:val="24"/>
        </w:rPr>
        <w:t>万元的履约保证金。招标方将在合约履行后退回中标方的履约保证金。</w:t>
      </w:r>
    </w:p>
    <w:p>
      <w:pPr>
        <w:spacing w:line="400" w:lineRule="exact"/>
        <w:ind w:firstLine="480" w:firstLineChars="200"/>
        <w:rPr>
          <w:rFonts w:ascii="仿宋_GB2312" w:hAnsi="宋体" w:eastAsia="仿宋_GB2312"/>
          <w:sz w:val="24"/>
        </w:rPr>
      </w:pPr>
      <w:r>
        <w:rPr>
          <w:rFonts w:hint="eastAsia" w:ascii="仿宋_GB2312" w:hAnsi="宋体" w:eastAsia="仿宋_GB2312"/>
          <w:sz w:val="24"/>
        </w:rPr>
        <w:t>为防止出现招标方得不到充分的货源的情况，特规定如下：当作为流通商的中标方不能以中标价格按计划数量保证供应，累计违约达到及超过中标量的10%，招标方将扣除其相应比例的履约保证金。对于作为中标方如有上述情况的违约，将由招标方在其货款中扣除相应的履约保证金。</w:t>
      </w:r>
    </w:p>
    <w:p>
      <w:pPr>
        <w:spacing w:line="400" w:lineRule="exact"/>
        <w:rPr>
          <w:rFonts w:ascii="仿宋_GB2312" w:hAnsi="宋体" w:eastAsia="仿宋_GB2312"/>
          <w:sz w:val="24"/>
        </w:rPr>
      </w:pPr>
      <w:r>
        <w:rPr>
          <w:rFonts w:hint="eastAsia" w:ascii="仿宋_GB2312" w:hAnsi="宋体" w:eastAsia="仿宋_GB2312"/>
          <w:sz w:val="24"/>
        </w:rPr>
        <w:t>第十条 本招标文件组成</w:t>
      </w:r>
    </w:p>
    <w:p>
      <w:pPr>
        <w:spacing w:line="400" w:lineRule="exact"/>
        <w:rPr>
          <w:rFonts w:ascii="仿宋_GB2312" w:hAnsi="宋体" w:eastAsia="仿宋_GB2312"/>
          <w:sz w:val="24"/>
        </w:rPr>
      </w:pPr>
      <w:r>
        <w:rPr>
          <w:rFonts w:hint="eastAsia" w:ascii="仿宋_GB2312" w:hAnsi="宋体" w:eastAsia="仿宋_GB2312"/>
          <w:sz w:val="24"/>
        </w:rPr>
        <w:t>10.1 一份招标书包括：</w:t>
      </w:r>
    </w:p>
    <w:p>
      <w:pPr>
        <w:spacing w:line="400" w:lineRule="exact"/>
        <w:rPr>
          <w:rFonts w:ascii="仿宋_GB2312" w:hAnsi="宋体" w:eastAsia="仿宋_GB2312"/>
          <w:sz w:val="24"/>
        </w:rPr>
      </w:pPr>
      <w:r>
        <w:rPr>
          <w:rFonts w:hint="eastAsia" w:ascii="仿宋_GB2312" w:hAnsi="宋体" w:eastAsia="仿宋_GB2312"/>
          <w:sz w:val="24"/>
        </w:rPr>
        <w:t>10.1.1招标文件</w:t>
      </w:r>
    </w:p>
    <w:p>
      <w:pPr>
        <w:spacing w:line="400" w:lineRule="exact"/>
        <w:rPr>
          <w:rFonts w:ascii="仿宋_GB2312" w:hAnsi="宋体" w:eastAsia="仿宋_GB2312"/>
          <w:sz w:val="24"/>
        </w:rPr>
      </w:pPr>
      <w:r>
        <w:rPr>
          <w:rFonts w:hint="eastAsia" w:ascii="仿宋_GB2312" w:hAnsi="宋体" w:eastAsia="仿宋_GB2312"/>
          <w:sz w:val="24"/>
        </w:rPr>
        <w:t>10.1.2投标书</w:t>
      </w:r>
    </w:p>
    <w:p>
      <w:pPr>
        <w:spacing w:line="400" w:lineRule="exact"/>
        <w:rPr>
          <w:rFonts w:ascii="仿宋_GB2312" w:hAnsi="宋体" w:eastAsia="仿宋_GB2312"/>
          <w:sz w:val="24"/>
        </w:rPr>
      </w:pPr>
      <w:r>
        <w:rPr>
          <w:rFonts w:hint="eastAsia" w:ascii="仿宋_GB2312" w:hAnsi="宋体" w:eastAsia="仿宋_GB2312"/>
          <w:sz w:val="24"/>
        </w:rPr>
        <w:t>10.2 招标文件各部分说明：</w:t>
      </w:r>
    </w:p>
    <w:p>
      <w:pPr>
        <w:spacing w:line="400" w:lineRule="exact"/>
        <w:rPr>
          <w:rFonts w:ascii="仿宋_GB2312" w:hAnsi="宋体" w:eastAsia="仿宋_GB2312"/>
          <w:sz w:val="24"/>
        </w:rPr>
      </w:pPr>
      <w:r>
        <w:rPr>
          <w:rFonts w:hint="eastAsia" w:ascii="仿宋_GB2312" w:hAnsi="宋体" w:eastAsia="仿宋_GB2312"/>
          <w:sz w:val="24"/>
        </w:rPr>
        <w:t>10.2.1投标须知是招标方用以向投标方介绍和说明本项目的投标方法、要求和过程的；</w:t>
      </w:r>
    </w:p>
    <w:p>
      <w:pPr>
        <w:spacing w:line="400" w:lineRule="exact"/>
        <w:rPr>
          <w:rFonts w:ascii="仿宋_GB2312" w:hAnsi="宋体" w:eastAsia="仿宋_GB2312"/>
          <w:sz w:val="24"/>
        </w:rPr>
      </w:pPr>
      <w:r>
        <w:rPr>
          <w:rFonts w:hint="eastAsia" w:ascii="仿宋_GB2312" w:hAnsi="宋体" w:eastAsia="仿宋_GB2312"/>
          <w:sz w:val="24"/>
        </w:rPr>
        <w:t>10.2.2投标书是投标方向招标方表明意愿的一份邀约，一旦招标方对邀约作出了承诺，双方的合同关系即告成立，投标方的任何邀约撤回和邀约撤销均不再被招标方接受。</w:t>
      </w:r>
    </w:p>
    <w:p>
      <w:pPr>
        <w:spacing w:line="400" w:lineRule="exact"/>
        <w:rPr>
          <w:rFonts w:ascii="仿宋_GB2312" w:hAnsi="宋体" w:eastAsia="仿宋_GB2312"/>
          <w:sz w:val="24"/>
        </w:rPr>
      </w:pPr>
      <w:r>
        <w:rPr>
          <w:rFonts w:hint="eastAsia" w:ascii="仿宋_GB2312" w:hAnsi="宋体" w:eastAsia="仿宋_GB2312"/>
          <w:sz w:val="24"/>
        </w:rPr>
        <w:t>第十一条 投标文件的组成</w:t>
      </w:r>
    </w:p>
    <w:p>
      <w:pPr>
        <w:spacing w:line="400" w:lineRule="exact"/>
        <w:rPr>
          <w:rFonts w:ascii="仿宋_GB2312" w:hAnsi="宋体" w:eastAsia="仿宋_GB2312"/>
          <w:sz w:val="24"/>
        </w:rPr>
      </w:pPr>
      <w:r>
        <w:rPr>
          <w:rFonts w:hint="eastAsia" w:ascii="仿宋_GB2312" w:hAnsi="宋体" w:eastAsia="仿宋_GB2312"/>
          <w:sz w:val="24"/>
        </w:rPr>
        <w:t>11.1投标</w:t>
      </w:r>
    </w:p>
    <w:p>
      <w:pPr>
        <w:spacing w:line="400" w:lineRule="exact"/>
        <w:rPr>
          <w:rFonts w:ascii="仿宋_GB2312" w:hAnsi="宋体" w:eastAsia="仿宋_GB2312"/>
          <w:sz w:val="24"/>
        </w:rPr>
      </w:pPr>
      <w:r>
        <w:rPr>
          <w:rFonts w:hint="eastAsia" w:ascii="仿宋_GB2312" w:hAnsi="宋体" w:eastAsia="仿宋_GB2312"/>
          <w:sz w:val="24"/>
        </w:rPr>
        <w:t>供应商在云筑网上进行资质注册后，注意云筑网上的招标公告，若有意向参与投标可根据招标公告在网上报名，待招标方资质审核合格后，根据招标文件，按照投标时间要求进行网上投标。</w:t>
      </w:r>
    </w:p>
    <w:p>
      <w:pPr>
        <w:spacing w:line="400" w:lineRule="exact"/>
        <w:rPr>
          <w:rFonts w:ascii="仿宋_GB2312" w:hAnsi="宋体" w:eastAsia="仿宋_GB2312"/>
          <w:sz w:val="24"/>
        </w:rPr>
      </w:pPr>
      <w:r>
        <w:rPr>
          <w:rFonts w:hint="eastAsia" w:ascii="仿宋_GB2312" w:hAnsi="宋体" w:eastAsia="仿宋_GB2312"/>
          <w:sz w:val="24"/>
        </w:rPr>
        <w:t>第十二条 开标及评标</w:t>
      </w:r>
    </w:p>
    <w:p>
      <w:pPr>
        <w:spacing w:line="400" w:lineRule="exact"/>
        <w:rPr>
          <w:rFonts w:ascii="仿宋_GB2312" w:hAnsi="宋体" w:eastAsia="仿宋_GB2312"/>
          <w:sz w:val="24"/>
        </w:rPr>
      </w:pPr>
      <w:r>
        <w:rPr>
          <w:rFonts w:hint="eastAsia" w:ascii="仿宋_GB2312" w:hAnsi="宋体" w:eastAsia="仿宋_GB2312"/>
          <w:sz w:val="24"/>
        </w:rPr>
        <w:t>12.1开标</w:t>
      </w:r>
    </w:p>
    <w:p>
      <w:pPr>
        <w:spacing w:line="400" w:lineRule="exact"/>
        <w:rPr>
          <w:rFonts w:ascii="仿宋_GB2312" w:hAnsi="宋体" w:eastAsia="仿宋_GB2312"/>
          <w:sz w:val="24"/>
        </w:rPr>
      </w:pPr>
      <w:r>
        <w:rPr>
          <w:rFonts w:ascii="仿宋_GB2312" w:hAnsi="宋体" w:eastAsia="仿宋_GB2312"/>
          <w:sz w:val="24"/>
        </w:rPr>
        <w:t>1</w:t>
      </w:r>
      <w:r>
        <w:rPr>
          <w:rFonts w:hint="eastAsia" w:ascii="仿宋_GB2312" w:hAnsi="宋体" w:eastAsia="仿宋_GB2312"/>
          <w:sz w:val="24"/>
        </w:rPr>
        <w:t>2.1.1招标人将组织网上开标；</w:t>
      </w:r>
    </w:p>
    <w:p>
      <w:pPr>
        <w:spacing w:line="400" w:lineRule="exact"/>
        <w:rPr>
          <w:rFonts w:ascii="仿宋_GB2312" w:hAnsi="宋体" w:eastAsia="仿宋_GB2312"/>
          <w:sz w:val="24"/>
        </w:rPr>
      </w:pPr>
      <w:r>
        <w:rPr>
          <w:rFonts w:hint="eastAsia" w:ascii="仿宋_GB2312" w:hAnsi="宋体" w:eastAsia="仿宋_GB2312"/>
          <w:sz w:val="24"/>
        </w:rPr>
        <w:t>12.1.2有下列情况之一者投标无效：</w:t>
      </w:r>
    </w:p>
    <w:p>
      <w:pPr>
        <w:spacing w:line="400" w:lineRule="exact"/>
        <w:rPr>
          <w:rFonts w:ascii="仿宋_GB2312" w:hAnsi="宋体" w:eastAsia="仿宋_GB2312"/>
          <w:sz w:val="24"/>
        </w:rPr>
      </w:pPr>
      <w:r>
        <w:rPr>
          <w:rFonts w:hint="eastAsia" w:ascii="仿宋_GB2312" w:hAnsi="宋体" w:eastAsia="仿宋_GB2312"/>
          <w:sz w:val="24"/>
        </w:rPr>
        <w:t>12.1.2</w:t>
      </w:r>
      <w:r>
        <w:rPr>
          <w:rFonts w:ascii="仿宋_GB2312" w:hAnsi="宋体" w:eastAsia="仿宋_GB2312"/>
          <w:sz w:val="24"/>
        </w:rPr>
        <w:t>.</w:t>
      </w:r>
      <w:r>
        <w:rPr>
          <w:rFonts w:hint="eastAsia" w:ascii="仿宋_GB2312" w:hAnsi="宋体" w:eastAsia="仿宋_GB2312"/>
          <w:sz w:val="24"/>
        </w:rPr>
        <w:t>1投标人未按招标文件要求填写和或字迹不清难以辨认；</w:t>
      </w:r>
    </w:p>
    <w:p>
      <w:pPr>
        <w:spacing w:line="400" w:lineRule="exact"/>
        <w:rPr>
          <w:rFonts w:ascii="仿宋_GB2312" w:hAnsi="宋体" w:eastAsia="仿宋_GB2312"/>
          <w:sz w:val="24"/>
        </w:rPr>
      </w:pPr>
      <w:r>
        <w:rPr>
          <w:rFonts w:hint="eastAsia" w:ascii="仿宋_GB2312" w:hAnsi="宋体" w:eastAsia="仿宋_GB2312"/>
          <w:sz w:val="24"/>
        </w:rPr>
        <w:t>12.1.2.2投标逾期的；</w:t>
      </w:r>
    </w:p>
    <w:p>
      <w:pPr>
        <w:spacing w:line="400" w:lineRule="exact"/>
        <w:rPr>
          <w:rFonts w:ascii="仿宋_GB2312" w:hAnsi="宋体" w:eastAsia="仿宋_GB2312"/>
          <w:sz w:val="24"/>
        </w:rPr>
      </w:pPr>
      <w:r>
        <w:rPr>
          <w:rFonts w:hint="eastAsia" w:ascii="仿宋_GB2312" w:hAnsi="宋体" w:eastAsia="仿宋_GB2312"/>
          <w:sz w:val="24"/>
        </w:rPr>
        <w:t>12.1.2.3未响应招标文件实质性要求的投标文件。资格证明文件不齐全或无效的。</w:t>
      </w:r>
    </w:p>
    <w:p>
      <w:pPr>
        <w:spacing w:line="400" w:lineRule="exact"/>
        <w:rPr>
          <w:rFonts w:ascii="仿宋_GB2312" w:hAnsi="宋体" w:eastAsia="仿宋_GB2312"/>
          <w:sz w:val="24"/>
        </w:rPr>
      </w:pPr>
      <w:r>
        <w:rPr>
          <w:rFonts w:hint="eastAsia" w:ascii="仿宋_GB2312" w:hAnsi="宋体" w:eastAsia="仿宋_GB2312"/>
          <w:sz w:val="24"/>
        </w:rPr>
        <w:t>12.1.3投标书一旦被招标方接纳，本投标书连同中标单位的书面接纳文件，将成为约束双方的具有法律效力的文件。</w:t>
      </w:r>
    </w:p>
    <w:p>
      <w:pPr>
        <w:spacing w:line="400" w:lineRule="exact"/>
        <w:rPr>
          <w:rFonts w:ascii="仿宋_GB2312" w:hAnsi="宋体" w:eastAsia="仿宋_GB2312"/>
          <w:sz w:val="24"/>
        </w:rPr>
      </w:pPr>
      <w:r>
        <w:rPr>
          <w:rFonts w:hint="eastAsia" w:ascii="仿宋_GB2312" w:hAnsi="宋体" w:eastAsia="仿宋_GB2312"/>
          <w:sz w:val="24"/>
        </w:rPr>
        <w:t>12.1.4在合同履行过程中，如中标单位不能全面、妥善地履行合同，则招标方可提前单方面终止合同并将中标单位承包范围内的材料指定其他单位采购供货，并由中标单位对因此造成的总包方的损失予以双倍赔偿。</w:t>
      </w:r>
    </w:p>
    <w:p>
      <w:pPr>
        <w:spacing w:line="400" w:lineRule="exact"/>
        <w:rPr>
          <w:rFonts w:ascii="仿宋_GB2312" w:hAnsi="宋体" w:eastAsia="仿宋_GB2312"/>
          <w:sz w:val="24"/>
        </w:rPr>
      </w:pPr>
      <w:r>
        <w:rPr>
          <w:rFonts w:hint="eastAsia" w:ascii="仿宋_GB2312" w:hAnsi="宋体" w:eastAsia="仿宋_GB2312"/>
          <w:sz w:val="24"/>
        </w:rPr>
        <w:t>12.2评标依据</w:t>
      </w:r>
    </w:p>
    <w:p>
      <w:pPr>
        <w:spacing w:line="400" w:lineRule="exact"/>
        <w:rPr>
          <w:rFonts w:ascii="仿宋_GB2312" w:hAnsi="宋体" w:eastAsia="仿宋_GB2312"/>
          <w:sz w:val="24"/>
        </w:rPr>
      </w:pPr>
      <w:r>
        <w:rPr>
          <w:rFonts w:hint="eastAsia" w:ascii="仿宋_GB2312" w:hAnsi="宋体" w:eastAsia="仿宋_GB2312"/>
          <w:sz w:val="24"/>
        </w:rPr>
        <w:t>12.2.1费用：价格合理。</w:t>
      </w:r>
    </w:p>
    <w:p>
      <w:pPr>
        <w:spacing w:line="400" w:lineRule="exact"/>
        <w:rPr>
          <w:rFonts w:ascii="仿宋_GB2312" w:hAnsi="宋体" w:eastAsia="仿宋_GB2312"/>
          <w:sz w:val="24"/>
        </w:rPr>
      </w:pPr>
      <w:r>
        <w:rPr>
          <w:rFonts w:hint="eastAsia" w:ascii="仿宋_GB2312" w:hAnsi="宋体" w:eastAsia="仿宋_GB2312"/>
          <w:sz w:val="24"/>
        </w:rPr>
        <w:t>12.2.2质量：满足招标条件的要求，质量优良。</w:t>
      </w:r>
    </w:p>
    <w:p>
      <w:pPr>
        <w:spacing w:line="400" w:lineRule="exact"/>
        <w:rPr>
          <w:rFonts w:ascii="仿宋_GB2312" w:hAnsi="宋体" w:eastAsia="仿宋_GB2312"/>
          <w:sz w:val="24"/>
        </w:rPr>
      </w:pPr>
      <w:r>
        <w:rPr>
          <w:rFonts w:hint="eastAsia" w:ascii="仿宋_GB2312" w:hAnsi="宋体" w:eastAsia="仿宋_GB2312"/>
          <w:sz w:val="24"/>
        </w:rPr>
        <w:t>12.2.3供货期限：保证按招标方项目的具体要求供货及时。</w:t>
      </w:r>
    </w:p>
    <w:p>
      <w:pPr>
        <w:spacing w:line="400" w:lineRule="exact"/>
        <w:rPr>
          <w:rFonts w:ascii="仿宋_GB2312" w:hAnsi="宋体" w:eastAsia="仿宋_GB2312"/>
          <w:sz w:val="24"/>
        </w:rPr>
      </w:pPr>
      <w:r>
        <w:rPr>
          <w:rFonts w:hint="eastAsia" w:ascii="仿宋_GB2312" w:hAnsi="宋体" w:eastAsia="仿宋_GB2312"/>
          <w:sz w:val="24"/>
        </w:rPr>
        <w:t>12.2.4投标方信誉：良好的企业信誉。</w:t>
      </w:r>
    </w:p>
    <w:p>
      <w:pPr>
        <w:spacing w:line="400" w:lineRule="exact"/>
        <w:rPr>
          <w:rFonts w:ascii="仿宋_GB2312" w:hAnsi="宋体" w:eastAsia="仿宋_GB2312"/>
          <w:sz w:val="24"/>
        </w:rPr>
      </w:pPr>
      <w:r>
        <w:rPr>
          <w:rFonts w:hint="eastAsia" w:ascii="仿宋_GB2312" w:hAnsi="宋体" w:eastAsia="仿宋_GB2312"/>
          <w:sz w:val="24"/>
        </w:rPr>
        <w:t>12.2.5付款条件满足招标单位要求或能提出进一步优惠条件的。</w:t>
      </w:r>
    </w:p>
    <w:p>
      <w:pPr>
        <w:spacing w:line="400" w:lineRule="exact"/>
        <w:rPr>
          <w:rFonts w:ascii="仿宋_GB2312" w:hAnsi="宋体" w:eastAsia="仿宋_GB2312"/>
          <w:sz w:val="24"/>
        </w:rPr>
      </w:pPr>
      <w:r>
        <w:rPr>
          <w:rFonts w:hint="eastAsia" w:ascii="仿宋_GB2312" w:hAnsi="宋体" w:eastAsia="仿宋_GB2312"/>
          <w:sz w:val="24"/>
        </w:rPr>
        <w:t>12.2.6招标方考虑的其它因素。</w:t>
      </w:r>
    </w:p>
    <w:p>
      <w:pPr>
        <w:spacing w:line="400" w:lineRule="exact"/>
        <w:rPr>
          <w:rFonts w:ascii="仿宋_GB2312" w:hAnsi="宋体" w:eastAsia="仿宋_GB2312"/>
          <w:sz w:val="24"/>
        </w:rPr>
      </w:pPr>
      <w:r>
        <w:rPr>
          <w:rFonts w:hint="eastAsia" w:ascii="仿宋_GB2312" w:hAnsi="宋体" w:eastAsia="仿宋_GB2312"/>
          <w:sz w:val="24"/>
        </w:rPr>
        <w:t>12.2.7评标小组确定中标及备标单位。</w:t>
      </w:r>
    </w:p>
    <w:p>
      <w:pPr>
        <w:spacing w:line="400" w:lineRule="exact"/>
        <w:ind w:left="240" w:hanging="240" w:hangingChars="100"/>
        <w:rPr>
          <w:rFonts w:ascii="仿宋_GB2312" w:hAnsi="宋体" w:eastAsia="仿宋_GB2312"/>
          <w:sz w:val="24"/>
        </w:rPr>
      </w:pPr>
      <w:r>
        <w:rPr>
          <w:rFonts w:hint="eastAsia" w:ascii="仿宋_GB2312" w:hAnsi="宋体" w:eastAsia="仿宋_GB2312"/>
          <w:sz w:val="24"/>
        </w:rPr>
        <w:t>第十三条 中标通知书</w:t>
      </w:r>
    </w:p>
    <w:p>
      <w:pPr>
        <w:spacing w:line="400" w:lineRule="exact"/>
        <w:rPr>
          <w:rFonts w:ascii="仿宋_GB2312" w:hAnsi="宋体" w:eastAsia="仿宋_GB2312"/>
          <w:sz w:val="24"/>
        </w:rPr>
      </w:pPr>
      <w:r>
        <w:rPr>
          <w:rFonts w:hint="eastAsia" w:ascii="仿宋_GB2312" w:hAnsi="宋体" w:eastAsia="仿宋_GB2312"/>
          <w:sz w:val="24"/>
        </w:rPr>
        <w:t>13.1招标单位向中标单位发出中标通知书，不向未中标单位发出未中标通知书，对未中标单位的合作我司表示感谢；</w:t>
      </w:r>
    </w:p>
    <w:p>
      <w:pPr>
        <w:spacing w:line="400" w:lineRule="exact"/>
        <w:rPr>
          <w:rFonts w:ascii="仿宋_GB2312" w:hAnsi="宋体" w:eastAsia="仿宋_GB2312"/>
          <w:sz w:val="24"/>
        </w:rPr>
      </w:pPr>
      <w:r>
        <w:rPr>
          <w:rFonts w:hint="eastAsia" w:ascii="仿宋_GB2312" w:hAnsi="宋体" w:eastAsia="仿宋_GB2312"/>
          <w:sz w:val="24"/>
        </w:rPr>
        <w:t>13.2招标单位评标后依次与投标方进行商务谈判，中标通知书将是合同的一个组成部分。</w:t>
      </w:r>
    </w:p>
    <w:p>
      <w:pPr>
        <w:spacing w:line="400" w:lineRule="exact"/>
        <w:rPr>
          <w:rFonts w:ascii="仿宋_GB2312" w:hAnsi="宋体" w:eastAsia="仿宋_GB2312"/>
          <w:sz w:val="24"/>
        </w:rPr>
      </w:pPr>
      <w:r>
        <w:rPr>
          <w:rFonts w:hint="eastAsia" w:ascii="仿宋_GB2312" w:hAnsi="宋体" w:eastAsia="仿宋_GB2312"/>
          <w:sz w:val="24"/>
        </w:rPr>
        <w:t>13.3在中标通知书发出后十日内签订供货合同，逾期无故不签订合同者，视为自动放弃，投标保证金不予退还。</w:t>
      </w:r>
    </w:p>
    <w:p>
      <w:pPr>
        <w:rPr>
          <w:sz w:val="44"/>
          <w:szCs w:val="44"/>
        </w:rPr>
      </w:pPr>
    </w:p>
    <w:p>
      <w:pPr>
        <w:rPr>
          <w:sz w:val="44"/>
          <w:szCs w:val="44"/>
        </w:rPr>
      </w:pPr>
      <w:r>
        <w:rPr>
          <w:rFonts w:hint="eastAsia"/>
          <w:sz w:val="44"/>
          <w:szCs w:val="44"/>
        </w:rPr>
        <w:t xml:space="preserve">                                                  </w:t>
      </w:r>
      <w:r>
        <w:rPr>
          <w:rFonts w:hint="eastAsia"/>
          <w:sz w:val="28"/>
          <w:szCs w:val="28"/>
        </w:rPr>
        <w:t xml:space="preserve">                    </w:t>
      </w:r>
    </w:p>
    <w:sectPr>
      <w:pgSz w:w="11906" w:h="16838"/>
      <w:pgMar w:top="1191" w:right="896" w:bottom="1191" w:left="896"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B"/>
    <w:lvl w:ilvl="0" w:tentative="0">
      <w:start w:val="1"/>
      <w:numFmt w:val="chineseCountingThousand"/>
      <w:pStyle w:val="2"/>
      <w:lvlText w:val="第%1条"/>
      <w:lvlJc w:val="left"/>
      <w:pPr>
        <w:ind w:left="704" w:hanging="420"/>
      </w:pPr>
      <w:rPr>
        <w:rFonts w:hint="eastAsia" w:eastAsia="黑体"/>
      </w:rPr>
    </w:lvl>
    <w:lvl w:ilvl="1" w:tentative="0">
      <w:start w:val="1"/>
      <w:numFmt w:val="decimal"/>
      <w:pStyle w:val="3"/>
      <w:isLgl/>
      <w:lvlText w:val="%1.%2"/>
      <w:lvlJc w:val="left"/>
      <w:pPr>
        <w:tabs>
          <w:tab w:val="left" w:pos="567"/>
        </w:tabs>
        <w:ind w:left="567" w:hanging="567"/>
      </w:pPr>
      <w:rPr>
        <w:rFonts w:hint="eastAsia"/>
        <w:color w:val="000000"/>
        <w:vertAlign w:val="baseline"/>
      </w:rPr>
    </w:lvl>
    <w:lvl w:ilvl="2" w:tentative="0">
      <w:start w:val="1"/>
      <w:numFmt w:val="decimal"/>
      <w:pStyle w:val="4"/>
      <w:isLgl/>
      <w:lvlText w:val="%1.%2.%3"/>
      <w:lvlJc w:val="left"/>
      <w:pPr>
        <w:tabs>
          <w:tab w:val="left" w:pos="1222"/>
        </w:tabs>
        <w:ind w:left="862" w:hanging="720"/>
      </w:pPr>
      <w:rPr>
        <w:rFonts w:hint="eastAsia"/>
      </w:rPr>
    </w:lvl>
    <w:lvl w:ilvl="3" w:tentative="0">
      <w:start w:val="1"/>
      <w:numFmt w:val="decimal"/>
      <w:pStyle w:val="5"/>
      <w:lvlText w:val="%1.%2.%3.%4"/>
      <w:lvlJc w:val="left"/>
      <w:pPr>
        <w:tabs>
          <w:tab w:val="left" w:pos="1080"/>
        </w:tabs>
        <w:ind w:left="864" w:hanging="864"/>
      </w:pPr>
      <w:rPr>
        <w:rFonts w:hint="eastAsia"/>
      </w:rPr>
    </w:lvl>
    <w:lvl w:ilvl="4" w:tentative="0">
      <w:start w:val="1"/>
      <w:numFmt w:val="decimal"/>
      <w:pStyle w:val="6"/>
      <w:lvlText w:val="%1.%2.%3.%4.%5"/>
      <w:lvlJc w:val="left"/>
      <w:pPr>
        <w:tabs>
          <w:tab w:val="left" w:pos="1008"/>
        </w:tabs>
        <w:ind w:left="1008" w:hanging="1008"/>
      </w:pPr>
      <w:rPr>
        <w:rFonts w:hint="eastAsia"/>
      </w:rPr>
    </w:lvl>
    <w:lvl w:ilvl="5" w:tentative="0">
      <w:start w:val="1"/>
      <w:numFmt w:val="decimal"/>
      <w:pStyle w:val="7"/>
      <w:lvlText w:val="%1.%2.%3.%4.%5.%6"/>
      <w:lvlJc w:val="left"/>
      <w:pPr>
        <w:tabs>
          <w:tab w:val="left" w:pos="1152"/>
        </w:tabs>
        <w:ind w:left="1152" w:hanging="1152"/>
      </w:pPr>
      <w:rPr>
        <w:rFonts w:hint="eastAsia"/>
      </w:rPr>
    </w:lvl>
    <w:lvl w:ilvl="6" w:tentative="0">
      <w:start w:val="1"/>
      <w:numFmt w:val="decimal"/>
      <w:pStyle w:val="8"/>
      <w:lvlText w:val="%1.%2.%3.%4.%5.%6.%7"/>
      <w:lvlJc w:val="left"/>
      <w:pPr>
        <w:tabs>
          <w:tab w:val="left" w:pos="1296"/>
        </w:tabs>
        <w:ind w:left="1296" w:hanging="1296"/>
      </w:pPr>
      <w:rPr>
        <w:rFonts w:hint="eastAsia"/>
      </w:rPr>
    </w:lvl>
    <w:lvl w:ilvl="7" w:tentative="0">
      <w:start w:val="1"/>
      <w:numFmt w:val="decimal"/>
      <w:pStyle w:val="9"/>
      <w:lvlText w:val="%1.%2.%3.%4.%5.%6.%7.%8"/>
      <w:lvlJc w:val="left"/>
      <w:pPr>
        <w:tabs>
          <w:tab w:val="left" w:pos="1440"/>
        </w:tabs>
        <w:ind w:left="1440" w:hanging="1440"/>
      </w:pPr>
      <w:rPr>
        <w:rFonts w:hint="eastAsia"/>
      </w:rPr>
    </w:lvl>
    <w:lvl w:ilvl="8" w:tentative="0">
      <w:start w:val="1"/>
      <w:numFmt w:val="decimal"/>
      <w:pStyle w:val="10"/>
      <w:lvlText w:val="%1.%2.%3.%4.%5.%6.%7.%8.%9"/>
      <w:lvlJc w:val="left"/>
      <w:pPr>
        <w:tabs>
          <w:tab w:val="left" w:pos="1584"/>
        </w:tabs>
        <w:ind w:left="1584" w:hanging="1584"/>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55241"/>
    <w:rsid w:val="00056870"/>
    <w:rsid w:val="000648E5"/>
    <w:rsid w:val="000850B6"/>
    <w:rsid w:val="000C0BD1"/>
    <w:rsid w:val="000C3E53"/>
    <w:rsid w:val="000F47E3"/>
    <w:rsid w:val="00102179"/>
    <w:rsid w:val="00141DDC"/>
    <w:rsid w:val="00172A27"/>
    <w:rsid w:val="00172A6D"/>
    <w:rsid w:val="001B1B1B"/>
    <w:rsid w:val="001E7F32"/>
    <w:rsid w:val="00205B42"/>
    <w:rsid w:val="00233421"/>
    <w:rsid w:val="00242C7B"/>
    <w:rsid w:val="00290877"/>
    <w:rsid w:val="002C37F6"/>
    <w:rsid w:val="00303193"/>
    <w:rsid w:val="00310A93"/>
    <w:rsid w:val="003133BE"/>
    <w:rsid w:val="00333203"/>
    <w:rsid w:val="0035075E"/>
    <w:rsid w:val="00374B9D"/>
    <w:rsid w:val="0037557F"/>
    <w:rsid w:val="00395AD5"/>
    <w:rsid w:val="003B6B9D"/>
    <w:rsid w:val="003E1D19"/>
    <w:rsid w:val="0041709C"/>
    <w:rsid w:val="00417239"/>
    <w:rsid w:val="004423C5"/>
    <w:rsid w:val="00447C23"/>
    <w:rsid w:val="00481EE4"/>
    <w:rsid w:val="004A289D"/>
    <w:rsid w:val="004A5E4B"/>
    <w:rsid w:val="004A67D5"/>
    <w:rsid w:val="004B30BE"/>
    <w:rsid w:val="004E4EA2"/>
    <w:rsid w:val="004E4EAF"/>
    <w:rsid w:val="004E56F8"/>
    <w:rsid w:val="005B0C22"/>
    <w:rsid w:val="006016EA"/>
    <w:rsid w:val="00605F29"/>
    <w:rsid w:val="006278AC"/>
    <w:rsid w:val="00667108"/>
    <w:rsid w:val="006B60F7"/>
    <w:rsid w:val="006B76DB"/>
    <w:rsid w:val="0072476C"/>
    <w:rsid w:val="00743588"/>
    <w:rsid w:val="007728B3"/>
    <w:rsid w:val="00777BD0"/>
    <w:rsid w:val="0079273B"/>
    <w:rsid w:val="0079414E"/>
    <w:rsid w:val="007C57F8"/>
    <w:rsid w:val="00800B02"/>
    <w:rsid w:val="00801DCD"/>
    <w:rsid w:val="00807B3E"/>
    <w:rsid w:val="00817337"/>
    <w:rsid w:val="008B3B8B"/>
    <w:rsid w:val="008C0D81"/>
    <w:rsid w:val="0091487C"/>
    <w:rsid w:val="00974D4A"/>
    <w:rsid w:val="009A2C45"/>
    <w:rsid w:val="00A131B3"/>
    <w:rsid w:val="00A24C03"/>
    <w:rsid w:val="00A44C56"/>
    <w:rsid w:val="00A4649B"/>
    <w:rsid w:val="00A57AC9"/>
    <w:rsid w:val="00A82544"/>
    <w:rsid w:val="00A9446F"/>
    <w:rsid w:val="00A97389"/>
    <w:rsid w:val="00AB25B3"/>
    <w:rsid w:val="00AB4F15"/>
    <w:rsid w:val="00AC2EC0"/>
    <w:rsid w:val="00AC5DFF"/>
    <w:rsid w:val="00AE0A2B"/>
    <w:rsid w:val="00AF2A1C"/>
    <w:rsid w:val="00B034DE"/>
    <w:rsid w:val="00B2567D"/>
    <w:rsid w:val="00B92B25"/>
    <w:rsid w:val="00BD3A88"/>
    <w:rsid w:val="00BD7970"/>
    <w:rsid w:val="00C07659"/>
    <w:rsid w:val="00C12183"/>
    <w:rsid w:val="00C339B7"/>
    <w:rsid w:val="00C5399A"/>
    <w:rsid w:val="00C662AF"/>
    <w:rsid w:val="00C72D92"/>
    <w:rsid w:val="00C862AD"/>
    <w:rsid w:val="00CC5679"/>
    <w:rsid w:val="00CE7D35"/>
    <w:rsid w:val="00D204DD"/>
    <w:rsid w:val="00D41B22"/>
    <w:rsid w:val="00D67E43"/>
    <w:rsid w:val="00D714A1"/>
    <w:rsid w:val="00D876B8"/>
    <w:rsid w:val="00DB0024"/>
    <w:rsid w:val="00E20C33"/>
    <w:rsid w:val="00E26A49"/>
    <w:rsid w:val="00E57046"/>
    <w:rsid w:val="00F27FEC"/>
    <w:rsid w:val="00F30C47"/>
    <w:rsid w:val="00F3698D"/>
    <w:rsid w:val="00F42B0A"/>
    <w:rsid w:val="00F45169"/>
    <w:rsid w:val="00F56BE3"/>
    <w:rsid w:val="00F56F34"/>
    <w:rsid w:val="00FA41C4"/>
    <w:rsid w:val="00FC55D3"/>
    <w:rsid w:val="346B4EED"/>
    <w:rsid w:val="41C26FC3"/>
    <w:rsid w:val="4689162F"/>
    <w:rsid w:val="568D0A3F"/>
    <w:rsid w:val="5DA828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9"/>
    <w:qFormat/>
    <w:uiPriority w:val="0"/>
    <w:pPr>
      <w:numPr>
        <w:ilvl w:val="0"/>
        <w:numId w:val="1"/>
      </w:numPr>
      <w:adjustRightInd w:val="0"/>
      <w:spacing w:beforeLines="50"/>
      <w:jc w:val="left"/>
      <w:textAlignment w:val="baseline"/>
      <w:outlineLvl w:val="0"/>
    </w:pPr>
    <w:rPr>
      <w:rFonts w:eastAsia="黑体" w:cs="黑体"/>
      <w:bCs/>
      <w:kern w:val="44"/>
      <w:szCs w:val="36"/>
    </w:rPr>
  </w:style>
  <w:style w:type="paragraph" w:styleId="3">
    <w:name w:val="heading 2"/>
    <w:basedOn w:val="1"/>
    <w:next w:val="1"/>
    <w:link w:val="20"/>
    <w:qFormat/>
    <w:uiPriority w:val="0"/>
    <w:pPr>
      <w:numPr>
        <w:ilvl w:val="1"/>
        <w:numId w:val="1"/>
      </w:numPr>
      <w:adjustRightInd w:val="0"/>
      <w:spacing w:beforeLines="50"/>
      <w:textAlignment w:val="baseline"/>
      <w:outlineLvl w:val="1"/>
    </w:pPr>
    <w:rPr>
      <w:rFonts w:cs="黑体"/>
      <w:bCs/>
      <w:kern w:val="0"/>
      <w:szCs w:val="30"/>
    </w:rPr>
  </w:style>
  <w:style w:type="paragraph" w:styleId="4">
    <w:name w:val="heading 3"/>
    <w:basedOn w:val="1"/>
    <w:next w:val="1"/>
    <w:link w:val="21"/>
    <w:qFormat/>
    <w:uiPriority w:val="0"/>
    <w:pPr>
      <w:numPr>
        <w:ilvl w:val="2"/>
        <w:numId w:val="1"/>
      </w:numPr>
      <w:tabs>
        <w:tab w:val="left" w:pos="567"/>
        <w:tab w:val="clear" w:pos="1222"/>
      </w:tabs>
      <w:adjustRightInd w:val="0"/>
      <w:spacing w:beforeLines="50"/>
      <w:ind w:left="567" w:hanging="567"/>
      <w:textAlignment w:val="baseline"/>
      <w:outlineLvl w:val="2"/>
    </w:pPr>
    <w:rPr>
      <w:rFonts w:cs="黑体"/>
      <w:bCs/>
      <w:color w:val="000000"/>
      <w:kern w:val="0"/>
      <w:szCs w:val="28"/>
    </w:rPr>
  </w:style>
  <w:style w:type="paragraph" w:styleId="5">
    <w:name w:val="heading 4"/>
    <w:basedOn w:val="1"/>
    <w:next w:val="1"/>
    <w:link w:val="22"/>
    <w:qFormat/>
    <w:uiPriority w:val="0"/>
    <w:pPr>
      <w:keepNext/>
      <w:keepLines/>
      <w:numPr>
        <w:ilvl w:val="3"/>
        <w:numId w:val="1"/>
      </w:numPr>
      <w:adjustRightInd w:val="0"/>
      <w:spacing w:beforeLines="50" w:afterLines="50"/>
      <w:ind w:left="862" w:hanging="862"/>
      <w:jc w:val="left"/>
      <w:textAlignment w:val="baseline"/>
      <w:outlineLvl w:val="3"/>
    </w:pPr>
    <w:rPr>
      <w:rFonts w:ascii="Arial" w:hAnsi="Arial" w:eastAsia="黑体" w:cs="Arial"/>
      <w:kern w:val="0"/>
      <w:sz w:val="28"/>
      <w:szCs w:val="28"/>
    </w:rPr>
  </w:style>
  <w:style w:type="paragraph" w:styleId="6">
    <w:name w:val="heading 5"/>
    <w:basedOn w:val="1"/>
    <w:next w:val="1"/>
    <w:link w:val="23"/>
    <w:qFormat/>
    <w:uiPriority w:val="0"/>
    <w:pPr>
      <w:keepNext/>
      <w:keepLines/>
      <w:numPr>
        <w:ilvl w:val="4"/>
        <w:numId w:val="1"/>
      </w:numPr>
      <w:adjustRightInd w:val="0"/>
      <w:spacing w:before="280" w:after="290" w:line="376" w:lineRule="atLeast"/>
      <w:jc w:val="left"/>
      <w:textAlignment w:val="baseline"/>
      <w:outlineLvl w:val="4"/>
    </w:pPr>
    <w:rPr>
      <w:b/>
      <w:bCs/>
      <w:kern w:val="0"/>
      <w:sz w:val="28"/>
      <w:szCs w:val="28"/>
    </w:rPr>
  </w:style>
  <w:style w:type="paragraph" w:styleId="7">
    <w:name w:val="heading 6"/>
    <w:basedOn w:val="1"/>
    <w:next w:val="1"/>
    <w:link w:val="24"/>
    <w:qFormat/>
    <w:uiPriority w:val="0"/>
    <w:pPr>
      <w:keepNext/>
      <w:keepLines/>
      <w:numPr>
        <w:ilvl w:val="5"/>
        <w:numId w:val="1"/>
      </w:numPr>
      <w:adjustRightInd w:val="0"/>
      <w:spacing w:before="240" w:after="64" w:line="320" w:lineRule="atLeast"/>
      <w:jc w:val="left"/>
      <w:textAlignment w:val="baseline"/>
      <w:outlineLvl w:val="5"/>
    </w:pPr>
    <w:rPr>
      <w:rFonts w:ascii="Arial" w:hAnsi="Arial" w:eastAsia="黑体" w:cs="Arial"/>
      <w:b/>
      <w:bCs/>
      <w:kern w:val="0"/>
      <w:sz w:val="24"/>
    </w:rPr>
  </w:style>
  <w:style w:type="paragraph" w:styleId="8">
    <w:name w:val="heading 7"/>
    <w:basedOn w:val="1"/>
    <w:next w:val="1"/>
    <w:link w:val="25"/>
    <w:qFormat/>
    <w:uiPriority w:val="0"/>
    <w:pPr>
      <w:keepNext/>
      <w:keepLines/>
      <w:numPr>
        <w:ilvl w:val="6"/>
        <w:numId w:val="1"/>
      </w:numPr>
      <w:adjustRightInd w:val="0"/>
      <w:spacing w:before="240" w:after="64" w:line="320" w:lineRule="atLeast"/>
      <w:jc w:val="left"/>
      <w:textAlignment w:val="baseline"/>
      <w:outlineLvl w:val="6"/>
    </w:pPr>
    <w:rPr>
      <w:b/>
      <w:bCs/>
      <w:kern w:val="0"/>
      <w:sz w:val="24"/>
    </w:rPr>
  </w:style>
  <w:style w:type="paragraph" w:styleId="9">
    <w:name w:val="heading 8"/>
    <w:basedOn w:val="1"/>
    <w:next w:val="1"/>
    <w:link w:val="26"/>
    <w:qFormat/>
    <w:uiPriority w:val="0"/>
    <w:pPr>
      <w:keepNext/>
      <w:keepLines/>
      <w:numPr>
        <w:ilvl w:val="7"/>
        <w:numId w:val="1"/>
      </w:numPr>
      <w:adjustRightInd w:val="0"/>
      <w:spacing w:before="240" w:after="64" w:line="320" w:lineRule="atLeast"/>
      <w:jc w:val="left"/>
      <w:textAlignment w:val="baseline"/>
      <w:outlineLvl w:val="7"/>
    </w:pPr>
    <w:rPr>
      <w:rFonts w:ascii="Arial" w:hAnsi="Arial" w:eastAsia="黑体" w:cs="Arial"/>
      <w:kern w:val="0"/>
      <w:sz w:val="24"/>
    </w:rPr>
  </w:style>
  <w:style w:type="paragraph" w:styleId="10">
    <w:name w:val="heading 9"/>
    <w:basedOn w:val="1"/>
    <w:next w:val="1"/>
    <w:link w:val="27"/>
    <w:qFormat/>
    <w:uiPriority w:val="0"/>
    <w:pPr>
      <w:keepNext/>
      <w:keepLines/>
      <w:numPr>
        <w:ilvl w:val="8"/>
        <w:numId w:val="1"/>
      </w:numPr>
      <w:adjustRightInd w:val="0"/>
      <w:spacing w:before="240" w:after="64" w:line="320" w:lineRule="atLeast"/>
      <w:jc w:val="left"/>
      <w:textAlignment w:val="baseline"/>
      <w:outlineLvl w:val="8"/>
    </w:pPr>
    <w:rPr>
      <w:rFonts w:ascii="Arial" w:hAnsi="Arial" w:eastAsia="黑体" w:cs="Arial"/>
      <w:kern w:val="0"/>
      <w:szCs w:val="21"/>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11">
    <w:name w:val="Body Text"/>
    <w:basedOn w:val="1"/>
    <w:qFormat/>
    <w:uiPriority w:val="0"/>
    <w:rPr>
      <w:b/>
      <w:bCs/>
      <w:sz w:val="24"/>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link w:val="18"/>
    <w:qFormat/>
    <w:uiPriority w:val="0"/>
    <w:pPr>
      <w:pBdr>
        <w:bottom w:val="single" w:color="auto" w:sz="6" w:space="1"/>
      </w:pBdr>
      <w:tabs>
        <w:tab w:val="center" w:pos="4153"/>
        <w:tab w:val="right" w:pos="8306"/>
      </w:tabs>
      <w:snapToGrid w:val="0"/>
      <w:jc w:val="center"/>
    </w:pPr>
    <w:rPr>
      <w:sz w:val="18"/>
      <w:szCs w:val="18"/>
    </w:rPr>
  </w:style>
  <w:style w:type="character" w:styleId="16">
    <w:name w:val="page number"/>
    <w:basedOn w:val="15"/>
    <w:qFormat/>
    <w:uiPriority w:val="0"/>
  </w:style>
  <w:style w:type="paragraph" w:customStyle="1" w:styleId="17">
    <w:name w:val="p0"/>
    <w:basedOn w:val="1"/>
    <w:qFormat/>
    <w:uiPriority w:val="0"/>
    <w:pPr>
      <w:widowControl/>
    </w:pPr>
    <w:rPr>
      <w:rFonts w:ascii="Calibri" w:hAnsi="Calibri" w:cs="宋体"/>
      <w:kern w:val="0"/>
      <w:szCs w:val="21"/>
    </w:rPr>
  </w:style>
  <w:style w:type="character" w:customStyle="1" w:styleId="18">
    <w:name w:val="页眉 字符"/>
    <w:link w:val="13"/>
    <w:qFormat/>
    <w:uiPriority w:val="0"/>
    <w:rPr>
      <w:kern w:val="2"/>
      <w:sz w:val="18"/>
      <w:szCs w:val="18"/>
    </w:rPr>
  </w:style>
  <w:style w:type="character" w:customStyle="1" w:styleId="19">
    <w:name w:val="标题 1 字符"/>
    <w:basedOn w:val="15"/>
    <w:link w:val="2"/>
    <w:qFormat/>
    <w:uiPriority w:val="0"/>
    <w:rPr>
      <w:rFonts w:eastAsia="黑体" w:cs="黑体"/>
      <w:bCs/>
      <w:kern w:val="44"/>
      <w:sz w:val="21"/>
      <w:szCs w:val="36"/>
    </w:rPr>
  </w:style>
  <w:style w:type="character" w:customStyle="1" w:styleId="20">
    <w:name w:val="标题 2 字符"/>
    <w:basedOn w:val="15"/>
    <w:link w:val="3"/>
    <w:qFormat/>
    <w:uiPriority w:val="0"/>
    <w:rPr>
      <w:rFonts w:cs="黑体"/>
      <w:bCs/>
      <w:sz w:val="21"/>
      <w:szCs w:val="30"/>
    </w:rPr>
  </w:style>
  <w:style w:type="character" w:customStyle="1" w:styleId="21">
    <w:name w:val="标题 3 字符"/>
    <w:basedOn w:val="15"/>
    <w:link w:val="4"/>
    <w:qFormat/>
    <w:uiPriority w:val="0"/>
    <w:rPr>
      <w:rFonts w:cs="黑体"/>
      <w:bCs/>
      <w:color w:val="000000"/>
      <w:sz w:val="21"/>
      <w:szCs w:val="28"/>
    </w:rPr>
  </w:style>
  <w:style w:type="character" w:customStyle="1" w:styleId="22">
    <w:name w:val="标题 4 字符"/>
    <w:basedOn w:val="15"/>
    <w:link w:val="5"/>
    <w:qFormat/>
    <w:uiPriority w:val="0"/>
    <w:rPr>
      <w:rFonts w:ascii="Arial" w:hAnsi="Arial" w:eastAsia="黑体" w:cs="Arial"/>
      <w:sz w:val="28"/>
      <w:szCs w:val="28"/>
    </w:rPr>
  </w:style>
  <w:style w:type="character" w:customStyle="1" w:styleId="23">
    <w:name w:val="标题 5 字符"/>
    <w:basedOn w:val="15"/>
    <w:link w:val="6"/>
    <w:qFormat/>
    <w:uiPriority w:val="0"/>
    <w:rPr>
      <w:b/>
      <w:bCs/>
      <w:sz w:val="28"/>
      <w:szCs w:val="28"/>
    </w:rPr>
  </w:style>
  <w:style w:type="character" w:customStyle="1" w:styleId="24">
    <w:name w:val="标题 6 字符"/>
    <w:basedOn w:val="15"/>
    <w:link w:val="7"/>
    <w:qFormat/>
    <w:uiPriority w:val="0"/>
    <w:rPr>
      <w:rFonts w:ascii="Arial" w:hAnsi="Arial" w:eastAsia="黑体" w:cs="Arial"/>
      <w:b/>
      <w:bCs/>
      <w:sz w:val="24"/>
      <w:szCs w:val="24"/>
    </w:rPr>
  </w:style>
  <w:style w:type="character" w:customStyle="1" w:styleId="25">
    <w:name w:val="标题 7 字符"/>
    <w:basedOn w:val="15"/>
    <w:link w:val="8"/>
    <w:qFormat/>
    <w:uiPriority w:val="0"/>
    <w:rPr>
      <w:b/>
      <w:bCs/>
      <w:sz w:val="24"/>
      <w:szCs w:val="24"/>
    </w:rPr>
  </w:style>
  <w:style w:type="character" w:customStyle="1" w:styleId="26">
    <w:name w:val="标题 8 字符"/>
    <w:basedOn w:val="15"/>
    <w:link w:val="9"/>
    <w:qFormat/>
    <w:uiPriority w:val="0"/>
    <w:rPr>
      <w:rFonts w:ascii="Arial" w:hAnsi="Arial" w:eastAsia="黑体" w:cs="Arial"/>
      <w:sz w:val="24"/>
      <w:szCs w:val="24"/>
    </w:rPr>
  </w:style>
  <w:style w:type="character" w:customStyle="1" w:styleId="27">
    <w:name w:val="标题 9 字符"/>
    <w:basedOn w:val="15"/>
    <w:link w:val="10"/>
    <w:qFormat/>
    <w:uiPriority w:val="0"/>
    <w:rPr>
      <w:rFonts w:ascii="Arial" w:hAnsi="Arial" w:eastAsia="黑体" w:cs="Arial"/>
      <w:sz w:val="21"/>
      <w:szCs w:val="21"/>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86D261-5B05-4A2E-8F26-47D3B0B38ACC}">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541</Words>
  <Characters>3089</Characters>
  <Lines>25</Lines>
  <Paragraphs>7</Paragraphs>
  <TotalTime>15</TotalTime>
  <ScaleCrop>false</ScaleCrop>
  <LinksUpToDate>false</LinksUpToDate>
  <CharactersWithSpaces>3623</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2019-01-16T10:58:00Z</dcterms:created>
  <dc:creator>User</dc:creator>
  <cp:lastModifiedBy>짱바오</cp:lastModifiedBy>
  <cp:lastPrinted>2015-04-16T08:26:00Z</cp:lastPrinted>
  <dcterms:modified xsi:type="dcterms:W3CDTF">2020-07-03T02:58:07Z</dcterms:modified>
  <dc:title>授权委托书</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