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7285"/>
        </w:tabs>
        <w:ind w:left="0" w:leftChars="0" w:firstLine="0" w:firstLineChars="0"/>
        <w:rPr>
          <w:rFonts w:ascii="宋体" w:hAnsi="宋体"/>
          <w:b/>
        </w:rPr>
      </w:pPr>
      <w:r>
        <w:rPr>
          <w:rFonts w:hint="eastAsia" w:ascii="宋体" w:hAnsi="宋体"/>
          <w:b/>
        </w:rPr>
        <w:t xml:space="preserve">附件一:  </w:t>
      </w:r>
      <w:r>
        <w:rPr>
          <w:rFonts w:hint="eastAsia" w:ascii="宋体" w:hAnsi="宋体"/>
          <w:b/>
          <w:sz w:val="27"/>
          <w:szCs w:val="27"/>
        </w:rPr>
        <w:t>招标物资包件清单</w:t>
      </w:r>
    </w:p>
    <w:tbl>
      <w:tblPr>
        <w:tblStyle w:val="4"/>
        <w:tblpPr w:leftFromText="180" w:rightFromText="180" w:vertAnchor="text" w:horzAnchor="page" w:tblpX="1051" w:tblpY="227"/>
        <w:tblOverlap w:val="never"/>
        <w:tblW w:w="151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87"/>
        <w:gridCol w:w="1290"/>
        <w:gridCol w:w="1254"/>
        <w:gridCol w:w="412"/>
        <w:gridCol w:w="448"/>
        <w:gridCol w:w="631"/>
        <w:gridCol w:w="614"/>
        <w:gridCol w:w="509"/>
        <w:gridCol w:w="702"/>
        <w:gridCol w:w="9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1" w:hRule="atLeast"/>
        </w:trPr>
        <w:tc>
          <w:tcPr>
            <w:tcW w:w="287"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序号</w:t>
            </w:r>
          </w:p>
        </w:tc>
        <w:tc>
          <w:tcPr>
            <w:tcW w:w="1290"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物资名称</w:t>
            </w:r>
          </w:p>
        </w:tc>
        <w:tc>
          <w:tcPr>
            <w:tcW w:w="1254" w:type="dxa"/>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规格</w:t>
            </w:r>
          </w:p>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型号</w:t>
            </w:r>
          </w:p>
        </w:tc>
        <w:tc>
          <w:tcPr>
            <w:tcW w:w="412"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w:t>
            </w:r>
          </w:p>
        </w:tc>
        <w:tc>
          <w:tcPr>
            <w:tcW w:w="448"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计量单位</w:t>
            </w:r>
          </w:p>
        </w:tc>
        <w:tc>
          <w:tcPr>
            <w:tcW w:w="631"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包件数量</w:t>
            </w:r>
          </w:p>
        </w:tc>
        <w:tc>
          <w:tcPr>
            <w:tcW w:w="614"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招标人名称</w:t>
            </w:r>
          </w:p>
        </w:tc>
        <w:tc>
          <w:tcPr>
            <w:tcW w:w="509"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包件售价（元）</w:t>
            </w:r>
          </w:p>
        </w:tc>
        <w:tc>
          <w:tcPr>
            <w:tcW w:w="702"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投标保证金（万元）</w:t>
            </w:r>
          </w:p>
        </w:tc>
        <w:tc>
          <w:tcPr>
            <w:tcW w:w="9021" w:type="dxa"/>
            <w:noWrap w:val="0"/>
            <w:vAlign w:val="center"/>
          </w:tcPr>
          <w:p>
            <w:pPr>
              <w:widowControl/>
              <w:spacing w:line="240" w:lineRule="auto"/>
              <w:ind w:firstLine="0" w:firstLineChars="0"/>
              <w:jc w:val="center"/>
              <w:textAlignment w:val="center"/>
              <w:rPr>
                <w:rFonts w:ascii="宋体" w:hAnsi="宋体"/>
                <w:b/>
                <w:sz w:val="20"/>
              </w:rPr>
            </w:pPr>
            <w:r>
              <w:rPr>
                <w:rFonts w:hint="eastAsia" w:ascii="宋体" w:hAnsi="宋体" w:cs="宋体"/>
                <w:b/>
                <w:color w:val="000000"/>
                <w:kern w:val="0"/>
                <w:sz w:val="20"/>
                <w:szCs w:val="20"/>
              </w:rPr>
              <w:t>投标人资格条件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287" w:type="dxa"/>
            <w:noWrap w:val="0"/>
            <w:vAlign w:val="center"/>
          </w:tcPr>
          <w:p>
            <w:pPr>
              <w:widowControl/>
              <w:spacing w:line="240" w:lineRule="auto"/>
              <w:ind w:firstLine="0" w:firstLineChars="0"/>
              <w:jc w:val="center"/>
              <w:textAlignment w:val="center"/>
              <w:rPr>
                <w:rFonts w:hint="eastAsia"/>
                <w:sz w:val="21"/>
              </w:rPr>
            </w:pPr>
            <w:r>
              <w:rPr>
                <w:rFonts w:hint="eastAsia" w:ascii="宋体" w:hAnsi="宋体" w:cs="宋体"/>
                <w:b/>
                <w:color w:val="000000"/>
                <w:kern w:val="0"/>
                <w:sz w:val="15"/>
                <w:szCs w:val="15"/>
              </w:rPr>
              <w:t>1</w:t>
            </w:r>
          </w:p>
        </w:tc>
        <w:tc>
          <w:tcPr>
            <w:tcW w:w="1290" w:type="dxa"/>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箱式变压器</w:t>
            </w:r>
          </w:p>
        </w:tc>
        <w:tc>
          <w:tcPr>
            <w:tcW w:w="1254" w:type="dxa"/>
            <w:noWrap w:val="0"/>
            <w:vAlign w:val="center"/>
          </w:tcPr>
          <w:p>
            <w:pPr>
              <w:widowControl/>
              <w:spacing w:line="240" w:lineRule="auto"/>
              <w:ind w:firstLine="0" w:firstLineChars="0"/>
              <w:jc w:val="both"/>
              <w:textAlignment w:val="center"/>
              <w:rPr>
                <w:rFonts w:ascii="宋体" w:hAnsi="宋体" w:cs="宋体"/>
                <w:b/>
                <w:color w:val="000000"/>
                <w:kern w:val="0"/>
                <w:sz w:val="15"/>
                <w:szCs w:val="15"/>
              </w:rPr>
            </w:pPr>
            <w:r>
              <w:rPr>
                <w:rFonts w:hint="eastAsia" w:ascii="宋体" w:hAnsi="宋体" w:cs="宋体"/>
                <w:b/>
                <w:color w:val="000000"/>
                <w:kern w:val="0"/>
                <w:sz w:val="15"/>
                <w:szCs w:val="15"/>
              </w:rPr>
              <w:t>S</w:t>
            </w:r>
            <w:r>
              <w:rPr>
                <w:rFonts w:ascii="宋体" w:hAnsi="宋体" w:cs="宋体"/>
                <w:b/>
                <w:color w:val="000000"/>
                <w:kern w:val="0"/>
                <w:sz w:val="15"/>
                <w:szCs w:val="15"/>
              </w:rPr>
              <w:t>CB13-50KVA/10KV</w:t>
            </w:r>
          </w:p>
        </w:tc>
        <w:tc>
          <w:tcPr>
            <w:tcW w:w="412" w:type="dxa"/>
            <w:noWrap w:val="0"/>
            <w:vAlign w:val="center"/>
          </w:tcPr>
          <w:p>
            <w:pPr>
              <w:widowControl/>
              <w:spacing w:line="240" w:lineRule="auto"/>
              <w:ind w:firstLine="0" w:firstLineChars="0"/>
              <w:jc w:val="center"/>
              <w:textAlignment w:val="center"/>
              <w:rPr>
                <w:rFonts w:ascii="宋体" w:hAnsi="宋体"/>
                <w:b/>
                <w:sz w:val="15"/>
                <w:szCs w:val="15"/>
              </w:rPr>
            </w:pPr>
            <w:r>
              <w:rPr>
                <w:rFonts w:ascii="宋体" w:hAnsi="宋体"/>
                <w:b/>
                <w:sz w:val="15"/>
                <w:szCs w:val="15"/>
              </w:rPr>
              <w:t>ZSBYQ</w:t>
            </w:r>
          </w:p>
        </w:tc>
        <w:tc>
          <w:tcPr>
            <w:tcW w:w="448"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b/>
                <w:sz w:val="15"/>
                <w:szCs w:val="15"/>
              </w:rPr>
              <w:t>座</w:t>
            </w:r>
          </w:p>
        </w:tc>
        <w:tc>
          <w:tcPr>
            <w:tcW w:w="631" w:type="dxa"/>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ascii="宋体" w:hAnsi="宋体" w:cs="宋体"/>
                <w:b/>
                <w:color w:val="000000"/>
                <w:kern w:val="0"/>
                <w:sz w:val="15"/>
                <w:szCs w:val="15"/>
              </w:rPr>
              <w:t>4</w:t>
            </w:r>
          </w:p>
        </w:tc>
        <w:tc>
          <w:tcPr>
            <w:tcW w:w="614" w:type="dxa"/>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中铁一局集团市政环保工程有限公司</w:t>
            </w:r>
          </w:p>
        </w:tc>
        <w:tc>
          <w:tcPr>
            <w:tcW w:w="509" w:type="dxa"/>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w:t>
            </w:r>
          </w:p>
        </w:tc>
        <w:tc>
          <w:tcPr>
            <w:tcW w:w="702" w:type="dxa"/>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w:t>
            </w:r>
          </w:p>
        </w:tc>
        <w:tc>
          <w:tcPr>
            <w:tcW w:w="9021" w:type="dxa"/>
            <w:noWrap w:val="0"/>
            <w:vAlign w:val="top"/>
          </w:tcPr>
          <w:p>
            <w:pPr>
              <w:widowControl/>
              <w:spacing w:line="240" w:lineRule="auto"/>
              <w:ind w:firstLine="360"/>
              <w:textAlignment w:val="top"/>
              <w:rPr>
                <w:rFonts w:ascii="宋体" w:hAnsi="宋体"/>
                <w:sz w:val="18"/>
                <w:szCs w:val="18"/>
              </w:rPr>
            </w:pPr>
            <w:r>
              <w:rPr>
                <w:rFonts w:hint="eastAsia" w:ascii="宋体" w:hAnsi="宋体" w:cs="宋体"/>
                <w:color w:val="000000"/>
                <w:kern w:val="0"/>
                <w:sz w:val="18"/>
                <w:szCs w:val="18"/>
              </w:rPr>
              <w:t xml:space="preserve">1.营业范围要求：在中华人民共和国境内依法注册，具有独立法人资格、具有招标物资生产或供应经验的生产厂或代理商，并且具有合法、有效的营业执照（三证合一）、开户许可证。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2.生产能力要求：</w:t>
            </w:r>
            <w:r>
              <w:rPr>
                <w:rFonts w:ascii="宋体" w:hAnsi="宋体"/>
                <w:sz w:val="18"/>
                <w:szCs w:val="18"/>
              </w:rPr>
              <w:t>生产商须具备投标物资年产</w:t>
            </w:r>
            <w:r>
              <w:rPr>
                <w:rFonts w:hint="eastAsia" w:ascii="宋体" w:hAnsi="宋体"/>
                <w:sz w:val="18"/>
                <w:szCs w:val="18"/>
              </w:rPr>
              <w:t>300</w:t>
            </w:r>
            <w:r>
              <w:rPr>
                <w:rFonts w:ascii="宋体" w:hAnsi="宋体"/>
                <w:sz w:val="18"/>
                <w:szCs w:val="18"/>
              </w:rPr>
              <w:t>万</w:t>
            </w:r>
            <w:r>
              <w:rPr>
                <w:rFonts w:hint="eastAsia" w:ascii="宋体" w:hAnsi="宋体"/>
                <w:sz w:val="18"/>
                <w:szCs w:val="18"/>
              </w:rPr>
              <w:t>元</w:t>
            </w:r>
            <w:r>
              <w:rPr>
                <w:rFonts w:ascii="宋体" w:hAnsi="宋体"/>
                <w:sz w:val="18"/>
                <w:szCs w:val="18"/>
              </w:rPr>
              <w:t>以上的生产能力，生产工艺、装备必须符合国家产业发展政策的相关规定，具有</w:t>
            </w:r>
            <w:r>
              <w:rPr>
                <w:rFonts w:hint="eastAsia" w:ascii="宋体" w:hAnsi="宋体"/>
                <w:sz w:val="18"/>
                <w:szCs w:val="18"/>
              </w:rPr>
              <w:t>有效的</w:t>
            </w:r>
            <w:r>
              <w:rPr>
                <w:rFonts w:ascii="宋体" w:hAnsi="宋体"/>
                <w:sz w:val="18"/>
                <w:szCs w:val="18"/>
              </w:rPr>
              <w:t>全国工业产品生产许可证。</w:t>
            </w:r>
          </w:p>
          <w:p>
            <w:pPr>
              <w:widowControl/>
              <w:spacing w:line="240" w:lineRule="auto"/>
              <w:ind w:firstLine="360"/>
              <w:textAlignment w:val="top"/>
              <w:rPr>
                <w:rFonts w:ascii="宋体" w:hAnsi="宋体" w:cs="宋体"/>
                <w:color w:val="000000"/>
                <w:kern w:val="0"/>
                <w:sz w:val="18"/>
                <w:szCs w:val="18"/>
              </w:rPr>
            </w:pPr>
            <w:r>
              <w:rPr>
                <w:rFonts w:hint="eastAsia" w:ascii="宋体" w:hAnsi="宋体" w:cs="宋体"/>
                <w:color w:val="000000"/>
                <w:kern w:val="0"/>
                <w:sz w:val="18"/>
                <w:szCs w:val="18"/>
              </w:rPr>
              <w:t>　　3．财务能力要求：</w:t>
            </w:r>
            <w:r>
              <w:rPr>
                <w:rFonts w:ascii="宋体" w:hAnsi="宋体"/>
                <w:sz w:val="18"/>
                <w:szCs w:val="18"/>
              </w:rPr>
              <w:t>具有良好的资金财务状况，生产厂注册资金不低于</w:t>
            </w:r>
            <w:r>
              <w:rPr>
                <w:rFonts w:hint="eastAsia" w:ascii="宋体" w:hAnsi="宋体"/>
                <w:sz w:val="18"/>
                <w:szCs w:val="18"/>
              </w:rPr>
              <w:t>5000万</w:t>
            </w:r>
            <w:r>
              <w:rPr>
                <w:rFonts w:ascii="宋体" w:hAnsi="宋体"/>
                <w:sz w:val="18"/>
                <w:szCs w:val="18"/>
              </w:rPr>
              <w:t>元人民币，代理商注册资金不低于</w:t>
            </w:r>
            <w:r>
              <w:rPr>
                <w:rFonts w:hint="eastAsia" w:ascii="宋体" w:hAnsi="宋体"/>
                <w:sz w:val="18"/>
                <w:szCs w:val="18"/>
              </w:rPr>
              <w:t>10</w:t>
            </w:r>
            <w:r>
              <w:rPr>
                <w:rFonts w:hint="eastAsia" w:ascii="宋体" w:hAnsi="宋体"/>
                <w:color w:val="000000"/>
                <w:sz w:val="18"/>
                <w:szCs w:val="18"/>
              </w:rPr>
              <w:t>00</w:t>
            </w:r>
            <w:r>
              <w:rPr>
                <w:rFonts w:hint="eastAsia" w:ascii="宋体" w:hAnsi="宋体"/>
                <w:sz w:val="18"/>
                <w:szCs w:val="18"/>
              </w:rPr>
              <w:t>万</w:t>
            </w:r>
            <w:r>
              <w:rPr>
                <w:rFonts w:ascii="宋体" w:hAnsi="宋体"/>
                <w:sz w:val="18"/>
                <w:szCs w:val="18"/>
              </w:rPr>
              <w:t>元人民币；投标人须提供</w:t>
            </w:r>
            <w:r>
              <w:rPr>
                <w:rFonts w:hint="eastAsia" w:ascii="宋体" w:hAnsi="宋体"/>
                <w:sz w:val="18"/>
                <w:szCs w:val="18"/>
              </w:rPr>
              <w:t>近两年</w:t>
            </w:r>
            <w:r>
              <w:rPr>
                <w:rFonts w:ascii="宋体" w:hAnsi="宋体"/>
                <w:sz w:val="18"/>
                <w:szCs w:val="18"/>
              </w:rPr>
              <w:t>经会计师事务所审计的财务报告及报表</w:t>
            </w:r>
            <w:r>
              <w:rPr>
                <w:rFonts w:hint="eastAsia" w:ascii="宋体" w:hAnsi="宋体"/>
                <w:sz w:val="18"/>
                <w:szCs w:val="18"/>
              </w:rPr>
              <w:t>（2019年新注册公司不提供）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4．</w:t>
            </w:r>
            <w:r>
              <w:rPr>
                <w:rFonts w:ascii="宋体" w:hAnsi="宋体"/>
                <w:sz w:val="18"/>
                <w:szCs w:val="18"/>
              </w:rPr>
              <w:t>质量保证能力要求：投标物资生产厂具有有效的ISO9000系列质量管理体系认证，产品符合国家现行标准；投标产品生产厂具有</w:t>
            </w:r>
            <w:r>
              <w:rPr>
                <w:rFonts w:hint="eastAsia" w:ascii="宋体" w:hAnsi="宋体"/>
                <w:sz w:val="18"/>
                <w:szCs w:val="18"/>
              </w:rPr>
              <w:t>近三</w:t>
            </w:r>
            <w:r>
              <w:rPr>
                <w:rFonts w:ascii="宋体" w:hAnsi="宋体"/>
                <w:sz w:val="18"/>
                <w:szCs w:val="18"/>
              </w:rPr>
              <w:t>年（201</w:t>
            </w:r>
            <w:r>
              <w:rPr>
                <w:rFonts w:hint="eastAsia" w:ascii="宋体" w:hAnsi="宋体"/>
                <w:sz w:val="18"/>
                <w:szCs w:val="18"/>
              </w:rPr>
              <w:t>6</w:t>
            </w:r>
            <w:r>
              <w:rPr>
                <w:rFonts w:ascii="宋体" w:hAnsi="宋体"/>
                <w:sz w:val="18"/>
                <w:szCs w:val="18"/>
              </w:rPr>
              <w:t>、201</w:t>
            </w:r>
            <w:r>
              <w:rPr>
                <w:rFonts w:hint="eastAsia" w:ascii="宋体" w:hAnsi="宋体"/>
                <w:sz w:val="18"/>
                <w:szCs w:val="18"/>
              </w:rPr>
              <w:t>7</w:t>
            </w:r>
            <w:r>
              <w:rPr>
                <w:rFonts w:ascii="宋体" w:hAnsi="宋体"/>
                <w:sz w:val="18"/>
                <w:szCs w:val="18"/>
              </w:rPr>
              <w:t>、201</w:t>
            </w:r>
            <w:r>
              <w:rPr>
                <w:rFonts w:hint="eastAsia" w:ascii="宋体" w:hAnsi="宋体"/>
                <w:sz w:val="18"/>
                <w:szCs w:val="18"/>
              </w:rPr>
              <w:t>8</w:t>
            </w:r>
            <w:r>
              <w:rPr>
                <w:rFonts w:ascii="宋体" w:hAnsi="宋体"/>
                <w:sz w:val="18"/>
                <w:szCs w:val="18"/>
              </w:rPr>
              <w:t>）的省、部级</w:t>
            </w:r>
            <w:r>
              <w:rPr>
                <w:rFonts w:hint="eastAsia" w:ascii="宋体" w:hAnsi="宋体"/>
                <w:sz w:val="18"/>
                <w:szCs w:val="18"/>
              </w:rPr>
              <w:t>及</w:t>
            </w:r>
            <w:r>
              <w:rPr>
                <w:rFonts w:ascii="宋体" w:hAnsi="宋体"/>
                <w:sz w:val="18"/>
                <w:szCs w:val="18"/>
              </w:rPr>
              <w:t>以上专业检测机构出具的投标物资质量检验报告</w:t>
            </w:r>
            <w:r>
              <w:rPr>
                <w:rFonts w:hint="eastAsia" w:ascii="宋体" w:hAnsi="宋体"/>
                <w:sz w:val="18"/>
                <w:szCs w:val="18"/>
              </w:rPr>
              <w:t>（2018年新注册公司提供当年即可）</w:t>
            </w:r>
            <w:r>
              <w:rPr>
                <w:rFonts w:ascii="宋体" w:hAnsi="宋体"/>
                <w:sz w:val="18"/>
                <w:szCs w:val="18"/>
              </w:rPr>
              <w:t>。</w:t>
            </w:r>
            <w:r>
              <w:rPr>
                <w:rFonts w:ascii="宋体" w:hAnsi="宋体"/>
                <w:sz w:val="18"/>
                <w:szCs w:val="18"/>
              </w:rPr>
              <w:br w:type="textWrapping"/>
            </w:r>
            <w:r>
              <w:rPr>
                <w:rFonts w:ascii="宋体" w:hAnsi="宋体"/>
                <w:sz w:val="18"/>
                <w:szCs w:val="18"/>
              </w:rPr>
              <w:t>　　5．供货业绩要求：生产厂或代理商具有</w:t>
            </w:r>
            <w:r>
              <w:rPr>
                <w:rFonts w:hint="eastAsia" w:ascii="宋体" w:hAnsi="宋体"/>
                <w:sz w:val="18"/>
                <w:szCs w:val="18"/>
              </w:rPr>
              <w:t>近三</w:t>
            </w:r>
            <w:r>
              <w:rPr>
                <w:rFonts w:ascii="宋体" w:hAnsi="宋体"/>
                <w:sz w:val="18"/>
                <w:szCs w:val="18"/>
              </w:rPr>
              <w:t>年（201</w:t>
            </w:r>
            <w:r>
              <w:rPr>
                <w:rFonts w:hint="eastAsia" w:ascii="宋体" w:hAnsi="宋体"/>
                <w:sz w:val="18"/>
                <w:szCs w:val="18"/>
              </w:rPr>
              <w:t>6</w:t>
            </w:r>
            <w:r>
              <w:rPr>
                <w:rFonts w:ascii="宋体" w:hAnsi="宋体"/>
                <w:sz w:val="18"/>
                <w:szCs w:val="18"/>
              </w:rPr>
              <w:t>、201</w:t>
            </w:r>
            <w:r>
              <w:rPr>
                <w:rFonts w:hint="eastAsia" w:ascii="宋体" w:hAnsi="宋体"/>
                <w:sz w:val="18"/>
                <w:szCs w:val="18"/>
              </w:rPr>
              <w:t>7</w:t>
            </w:r>
            <w:r>
              <w:rPr>
                <w:rFonts w:ascii="宋体" w:hAnsi="宋体"/>
                <w:sz w:val="18"/>
                <w:szCs w:val="18"/>
              </w:rPr>
              <w:t>、201</w:t>
            </w:r>
            <w:r>
              <w:rPr>
                <w:rFonts w:hint="eastAsia" w:ascii="宋体" w:hAnsi="宋体"/>
                <w:sz w:val="18"/>
                <w:szCs w:val="18"/>
              </w:rPr>
              <w:t>8</w:t>
            </w:r>
            <w:r>
              <w:rPr>
                <w:rFonts w:ascii="宋体" w:hAnsi="宋体"/>
                <w:sz w:val="18"/>
                <w:szCs w:val="18"/>
              </w:rPr>
              <w:t>）</w:t>
            </w:r>
            <w:r>
              <w:rPr>
                <w:rFonts w:hint="eastAsia" w:ascii="宋体" w:hAnsi="宋体"/>
                <w:sz w:val="18"/>
                <w:szCs w:val="18"/>
              </w:rPr>
              <w:t>市政</w:t>
            </w:r>
            <w:r>
              <w:rPr>
                <w:rFonts w:ascii="宋体" w:hAnsi="宋体"/>
                <w:sz w:val="18"/>
                <w:szCs w:val="18"/>
              </w:rPr>
              <w:t>工程供货业绩（须附中标通知书复印件或供货合同复印件等）</w:t>
            </w:r>
            <w:r>
              <w:rPr>
                <w:rFonts w:hint="eastAsia" w:ascii="宋体" w:hAnsi="宋体"/>
                <w:sz w:val="18"/>
                <w:szCs w:val="18"/>
              </w:rPr>
              <w:t>（2019年新注册公司不提供）</w:t>
            </w:r>
            <w:r>
              <w:rPr>
                <w:rFonts w:ascii="宋体" w:hAnsi="宋体"/>
                <w:sz w:val="18"/>
                <w:szCs w:val="18"/>
              </w:rPr>
              <w:t>；</w:t>
            </w:r>
            <w:r>
              <w:rPr>
                <w:rFonts w:ascii="宋体" w:hAnsi="宋体"/>
                <w:sz w:val="18"/>
                <w:szCs w:val="18"/>
              </w:rPr>
              <w:br w:type="textWrapping"/>
            </w:r>
            <w:r>
              <w:rPr>
                <w:rFonts w:ascii="宋体" w:hAnsi="宋体"/>
                <w:sz w:val="18"/>
                <w:szCs w:val="18"/>
              </w:rPr>
              <w:t>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至少三家同类投标物资已供买方或使用单位出具的投标人履约情况证明；不接受在铁路总公司（原铁道部）处罚期内的投标单位</w:t>
            </w:r>
            <w:r>
              <w:rPr>
                <w:rFonts w:hint="eastAsia" w:ascii="宋体" w:hAnsi="宋体"/>
                <w:sz w:val="18"/>
                <w:szCs w:val="18"/>
              </w:rPr>
              <w:t>；</w:t>
            </w:r>
            <w:r>
              <w:rPr>
                <w:rFonts w:ascii="宋体" w:hAnsi="宋体"/>
                <w:sz w:val="18"/>
                <w:szCs w:val="18"/>
              </w:rPr>
              <w:t>不接受股份公司限制交易内的投标单位。</w:t>
            </w:r>
            <w:r>
              <w:rPr>
                <w:rFonts w:ascii="宋体" w:hAnsi="宋体"/>
                <w:sz w:val="18"/>
                <w:szCs w:val="18"/>
              </w:rPr>
              <w:br w:type="textWrapping"/>
            </w:r>
            <w:r>
              <w:rPr>
                <w:rFonts w:ascii="宋体" w:hAnsi="宋体"/>
                <w:sz w:val="18"/>
                <w:szCs w:val="18"/>
              </w:rPr>
              <w:t>　　7．其他要求：投标人如是代理商，必须有所代理生产厂出具的授权函原件，生产厂或代理商具备提供延伸服务的能力，具备跨地域的供应、集散能力。代理商投标时，生产厂家出具的授权书、营业执照复印件、承诺函等由生产厂提供的所有资料均须加盖生产厂公章（鲜章），上述资料应装订在正本内，否则其投标文件将会被否决。盖电子章的资料为无效资料。</w:t>
            </w:r>
          </w:p>
          <w:p>
            <w:pPr>
              <w:widowControl/>
              <w:spacing w:line="240" w:lineRule="auto"/>
              <w:ind w:firstLine="0" w:firstLineChars="0"/>
              <w:textAlignment w:val="top"/>
              <w:rPr>
                <w:rFonts w:ascii="宋体" w:hAnsi="宋体" w:cs="宋体"/>
                <w:color w:val="000000"/>
                <w:kern w:val="0"/>
                <w:sz w:val="18"/>
                <w:szCs w:val="18"/>
              </w:rPr>
            </w:pPr>
            <w:r>
              <w:rPr>
                <w:rFonts w:hint="eastAsia" w:ascii="宋体" w:hAnsi="宋体" w:cs="宋体"/>
                <w:color w:val="000000"/>
                <w:kern w:val="0"/>
                <w:sz w:val="18"/>
                <w:szCs w:val="18"/>
              </w:rPr>
              <w:t xml:space="preserve">    8.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w:t>
            </w:r>
          </w:p>
        </w:tc>
      </w:tr>
    </w:tbl>
    <w:p>
      <w:pPr>
        <w:ind w:firstLine="482"/>
        <w:rPr>
          <w:rFonts w:hint="eastAsia" w:ascii="宋体" w:hAnsi="宋体"/>
          <w:b/>
        </w:rPr>
      </w:pPr>
      <w:r>
        <w:rPr>
          <w:rFonts w:hint="eastAsia" w:ascii="宋体" w:hAnsi="宋体"/>
          <w:b/>
        </w:rPr>
        <w:t>附件</w:t>
      </w:r>
      <w:r>
        <w:rPr>
          <w:rFonts w:hint="eastAsia" w:ascii="宋体" w:hAnsi="宋体"/>
          <w:b/>
          <w:lang w:eastAsia="zh-CN"/>
        </w:rPr>
        <w:t>一</w:t>
      </w:r>
      <w:r>
        <w:rPr>
          <w:rFonts w:hint="eastAsia" w:ascii="宋体" w:hAnsi="宋体"/>
          <w:b/>
        </w:rPr>
        <w:t>:                                         招标物资包件清单</w:t>
      </w:r>
    </w:p>
    <w:tbl>
      <w:tblPr>
        <w:tblStyle w:val="4"/>
        <w:tblpPr w:leftFromText="180" w:rightFromText="180" w:vertAnchor="text" w:horzAnchor="page" w:tblpX="1051" w:tblpY="227"/>
        <w:tblOverlap w:val="never"/>
        <w:tblW w:w="151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87"/>
        <w:gridCol w:w="1290"/>
        <w:gridCol w:w="1254"/>
        <w:gridCol w:w="412"/>
        <w:gridCol w:w="448"/>
        <w:gridCol w:w="631"/>
        <w:gridCol w:w="614"/>
        <w:gridCol w:w="509"/>
        <w:gridCol w:w="702"/>
        <w:gridCol w:w="9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1" w:hRule="atLeast"/>
        </w:trPr>
        <w:tc>
          <w:tcPr>
            <w:tcW w:w="287"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序号</w:t>
            </w:r>
          </w:p>
        </w:tc>
        <w:tc>
          <w:tcPr>
            <w:tcW w:w="1290"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物资名称</w:t>
            </w:r>
          </w:p>
        </w:tc>
        <w:tc>
          <w:tcPr>
            <w:tcW w:w="1254" w:type="dxa"/>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规格</w:t>
            </w:r>
          </w:p>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型号</w:t>
            </w:r>
          </w:p>
        </w:tc>
        <w:tc>
          <w:tcPr>
            <w:tcW w:w="412"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w:t>
            </w:r>
          </w:p>
        </w:tc>
        <w:tc>
          <w:tcPr>
            <w:tcW w:w="448"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计量单位</w:t>
            </w:r>
          </w:p>
        </w:tc>
        <w:tc>
          <w:tcPr>
            <w:tcW w:w="631"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包件数量</w:t>
            </w:r>
          </w:p>
        </w:tc>
        <w:tc>
          <w:tcPr>
            <w:tcW w:w="614"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招标人名称</w:t>
            </w:r>
          </w:p>
        </w:tc>
        <w:tc>
          <w:tcPr>
            <w:tcW w:w="509"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包件售价（元）</w:t>
            </w:r>
          </w:p>
        </w:tc>
        <w:tc>
          <w:tcPr>
            <w:tcW w:w="702" w:type="dxa"/>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cs="宋体"/>
                <w:b/>
                <w:color w:val="000000"/>
                <w:kern w:val="0"/>
                <w:sz w:val="15"/>
                <w:szCs w:val="15"/>
              </w:rPr>
              <w:t>投标保证金（万元）</w:t>
            </w:r>
          </w:p>
        </w:tc>
        <w:tc>
          <w:tcPr>
            <w:tcW w:w="9021" w:type="dxa"/>
            <w:noWrap w:val="0"/>
            <w:vAlign w:val="center"/>
          </w:tcPr>
          <w:p>
            <w:pPr>
              <w:widowControl/>
              <w:spacing w:line="240" w:lineRule="auto"/>
              <w:ind w:firstLine="0" w:firstLineChars="0"/>
              <w:jc w:val="center"/>
              <w:textAlignment w:val="center"/>
              <w:rPr>
                <w:rFonts w:ascii="宋体" w:hAnsi="宋体"/>
                <w:b/>
                <w:sz w:val="20"/>
              </w:rPr>
            </w:pPr>
            <w:r>
              <w:rPr>
                <w:rFonts w:hint="eastAsia" w:ascii="宋体" w:hAnsi="宋体" w:cs="宋体"/>
                <w:b/>
                <w:color w:val="000000"/>
                <w:kern w:val="0"/>
                <w:sz w:val="20"/>
                <w:szCs w:val="20"/>
              </w:rPr>
              <w:t>投标人资格条件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90" w:hRule="atLeast"/>
        </w:trPr>
        <w:tc>
          <w:tcPr>
            <w:tcW w:w="287" w:type="dxa"/>
            <w:tcBorders>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sz w:val="21"/>
              </w:rPr>
            </w:pPr>
            <w:r>
              <w:rPr>
                <w:rFonts w:hint="eastAsia" w:ascii="宋体" w:hAnsi="宋体" w:cs="宋体"/>
                <w:b/>
                <w:color w:val="000000"/>
                <w:kern w:val="0"/>
                <w:sz w:val="15"/>
                <w:szCs w:val="15"/>
              </w:rPr>
              <w:t>1</w:t>
            </w:r>
          </w:p>
        </w:tc>
        <w:tc>
          <w:tcPr>
            <w:tcW w:w="1290"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高压电力电缆</w:t>
            </w:r>
          </w:p>
        </w:tc>
        <w:tc>
          <w:tcPr>
            <w:tcW w:w="1254" w:type="dxa"/>
            <w:tcBorders>
              <w:bottom w:val="single" w:color="auto" w:sz="4" w:space="0"/>
            </w:tcBorders>
            <w:noWrap w:val="0"/>
            <w:vAlign w:val="center"/>
          </w:tcPr>
          <w:p>
            <w:pPr>
              <w:widowControl/>
              <w:spacing w:line="240" w:lineRule="auto"/>
              <w:ind w:firstLine="0" w:firstLineChars="0"/>
              <w:jc w:val="both"/>
              <w:textAlignment w:val="center"/>
              <w:rPr>
                <w:rFonts w:ascii="宋体" w:hAnsi="宋体" w:cs="宋体"/>
                <w:b/>
                <w:color w:val="000000"/>
                <w:kern w:val="0"/>
                <w:sz w:val="15"/>
                <w:szCs w:val="15"/>
              </w:rPr>
            </w:pPr>
            <w:r>
              <w:rPr>
                <w:rFonts w:ascii="宋体" w:hAnsi="宋体" w:cs="宋体"/>
                <w:b/>
                <w:color w:val="000000"/>
                <w:kern w:val="0"/>
                <w:sz w:val="15"/>
                <w:szCs w:val="15"/>
              </w:rPr>
              <w:t>YJV22-8.7/10KV-3*35</w:t>
            </w:r>
          </w:p>
        </w:tc>
        <w:tc>
          <w:tcPr>
            <w:tcW w:w="412"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b/>
                <w:sz w:val="15"/>
                <w:szCs w:val="15"/>
              </w:rPr>
            </w:pPr>
            <w:r>
              <w:rPr>
                <w:rFonts w:ascii="宋体" w:hAnsi="宋体"/>
                <w:b/>
                <w:sz w:val="15"/>
                <w:szCs w:val="15"/>
              </w:rPr>
              <w:t>ZSDL</w:t>
            </w:r>
          </w:p>
        </w:tc>
        <w:tc>
          <w:tcPr>
            <w:tcW w:w="448"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b/>
                <w:sz w:val="15"/>
                <w:szCs w:val="15"/>
              </w:rPr>
              <w:t>米</w:t>
            </w:r>
          </w:p>
        </w:tc>
        <w:tc>
          <w:tcPr>
            <w:tcW w:w="631"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ascii="宋体" w:hAnsi="宋体" w:cs="宋体"/>
                <w:b/>
                <w:color w:val="000000"/>
                <w:kern w:val="0"/>
                <w:sz w:val="15"/>
                <w:szCs w:val="15"/>
              </w:rPr>
              <w:t>2000</w:t>
            </w:r>
          </w:p>
        </w:tc>
        <w:tc>
          <w:tcPr>
            <w:tcW w:w="614"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中铁一局集团市政环保工程有限公司</w:t>
            </w:r>
          </w:p>
        </w:tc>
        <w:tc>
          <w:tcPr>
            <w:tcW w:w="509"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w:t>
            </w:r>
          </w:p>
        </w:tc>
        <w:tc>
          <w:tcPr>
            <w:tcW w:w="702" w:type="dxa"/>
            <w:tcBorders>
              <w:bottom w:val="single" w:color="auto" w:sz="4" w:space="0"/>
            </w:tcBorders>
            <w:noWrap w:val="0"/>
            <w:vAlign w:val="center"/>
          </w:tcPr>
          <w:p>
            <w:pPr>
              <w:widowControl/>
              <w:spacing w:line="240" w:lineRule="auto"/>
              <w:ind w:firstLine="0" w:firstLineChars="0"/>
              <w:jc w:val="center"/>
              <w:textAlignment w:val="center"/>
              <w:rPr>
                <w:rFonts w:ascii="宋体" w:hAnsi="宋体"/>
                <w:b/>
                <w:color w:val="000000"/>
                <w:sz w:val="15"/>
                <w:szCs w:val="15"/>
              </w:rPr>
            </w:pPr>
            <w:r>
              <w:rPr>
                <w:rFonts w:hint="eastAsia" w:ascii="宋体" w:hAnsi="宋体" w:cs="宋体"/>
                <w:b/>
                <w:color w:val="000000"/>
                <w:kern w:val="0"/>
                <w:sz w:val="15"/>
                <w:szCs w:val="15"/>
              </w:rPr>
              <w:t>×</w:t>
            </w:r>
          </w:p>
        </w:tc>
        <w:tc>
          <w:tcPr>
            <w:tcW w:w="9021" w:type="dxa"/>
            <w:vMerge w:val="restart"/>
            <w:noWrap w:val="0"/>
            <w:vAlign w:val="center"/>
          </w:tcPr>
          <w:p>
            <w:pPr>
              <w:widowControl/>
              <w:spacing w:line="240" w:lineRule="auto"/>
              <w:ind w:firstLine="360"/>
              <w:jc w:val="center"/>
              <w:textAlignment w:val="top"/>
              <w:rPr>
                <w:rFonts w:ascii="宋体" w:hAnsi="宋体"/>
                <w:sz w:val="18"/>
                <w:szCs w:val="18"/>
              </w:rPr>
            </w:pPr>
            <w:r>
              <w:rPr>
                <w:rFonts w:hint="eastAsia" w:ascii="宋体" w:hAnsi="宋体" w:cs="宋体"/>
                <w:color w:val="000000"/>
                <w:kern w:val="0"/>
                <w:sz w:val="18"/>
                <w:szCs w:val="18"/>
              </w:rPr>
              <w:t xml:space="preserve">1.营业范围要求：在中华人民共和国境内依法注册，具有独立法人资格、具有招标物资生产或供应经验的生产厂或代理商，并且具有合法、有效的营业执照（三证合一）、开户许可证。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2.生产能力要求：</w:t>
            </w:r>
            <w:r>
              <w:rPr>
                <w:rFonts w:ascii="宋体" w:hAnsi="宋体"/>
                <w:sz w:val="18"/>
                <w:szCs w:val="18"/>
              </w:rPr>
              <w:t>生产商须具备投标物资年产</w:t>
            </w:r>
            <w:r>
              <w:rPr>
                <w:rFonts w:hint="eastAsia" w:ascii="宋体" w:hAnsi="宋体"/>
                <w:sz w:val="18"/>
                <w:szCs w:val="18"/>
              </w:rPr>
              <w:t>300</w:t>
            </w:r>
            <w:r>
              <w:rPr>
                <w:rFonts w:ascii="宋体" w:hAnsi="宋体"/>
                <w:sz w:val="18"/>
                <w:szCs w:val="18"/>
              </w:rPr>
              <w:t>万</w:t>
            </w:r>
            <w:r>
              <w:rPr>
                <w:rFonts w:hint="eastAsia" w:ascii="宋体" w:hAnsi="宋体"/>
                <w:sz w:val="18"/>
                <w:szCs w:val="18"/>
              </w:rPr>
              <w:t>元</w:t>
            </w:r>
            <w:r>
              <w:rPr>
                <w:rFonts w:ascii="宋体" w:hAnsi="宋体"/>
                <w:sz w:val="18"/>
                <w:szCs w:val="18"/>
              </w:rPr>
              <w:t>以上的生产能力，生产工艺、装备必须符合国家产业发展政策的相关规定，具有</w:t>
            </w:r>
            <w:r>
              <w:rPr>
                <w:rFonts w:hint="eastAsia" w:ascii="宋体" w:hAnsi="宋体"/>
                <w:sz w:val="18"/>
                <w:szCs w:val="18"/>
              </w:rPr>
              <w:t>有效的</w:t>
            </w:r>
            <w:r>
              <w:rPr>
                <w:rFonts w:ascii="宋体" w:hAnsi="宋体"/>
                <w:sz w:val="18"/>
                <w:szCs w:val="18"/>
              </w:rPr>
              <w:t>全国工业产品生产许可证。</w:t>
            </w:r>
          </w:p>
          <w:p>
            <w:pPr>
              <w:widowControl/>
              <w:spacing w:line="240" w:lineRule="auto"/>
              <w:ind w:firstLine="360"/>
              <w:jc w:val="center"/>
              <w:textAlignment w:val="top"/>
              <w:rPr>
                <w:rFonts w:ascii="宋体" w:hAnsi="宋体" w:cs="宋体"/>
                <w:color w:val="000000"/>
                <w:kern w:val="0"/>
                <w:sz w:val="18"/>
                <w:szCs w:val="18"/>
              </w:rPr>
            </w:pPr>
            <w:r>
              <w:rPr>
                <w:rFonts w:hint="eastAsia" w:ascii="宋体" w:hAnsi="宋体" w:cs="宋体"/>
                <w:color w:val="000000"/>
                <w:kern w:val="0"/>
                <w:sz w:val="18"/>
                <w:szCs w:val="18"/>
              </w:rPr>
              <w:t>3．财务能力要求：</w:t>
            </w:r>
            <w:r>
              <w:rPr>
                <w:rFonts w:ascii="宋体" w:hAnsi="宋体"/>
                <w:sz w:val="18"/>
                <w:szCs w:val="18"/>
              </w:rPr>
              <w:t>具有良好的资金财务状况，生产厂注册资金不低于</w:t>
            </w:r>
            <w:r>
              <w:rPr>
                <w:rFonts w:hint="eastAsia" w:ascii="宋体" w:hAnsi="宋体"/>
                <w:sz w:val="18"/>
                <w:szCs w:val="18"/>
              </w:rPr>
              <w:t>5000万</w:t>
            </w:r>
            <w:r>
              <w:rPr>
                <w:rFonts w:ascii="宋体" w:hAnsi="宋体"/>
                <w:sz w:val="18"/>
                <w:szCs w:val="18"/>
              </w:rPr>
              <w:t>元人民币，代理商注册资金不低于</w:t>
            </w:r>
            <w:r>
              <w:rPr>
                <w:rFonts w:hint="eastAsia" w:ascii="宋体" w:hAnsi="宋体"/>
                <w:sz w:val="18"/>
                <w:szCs w:val="18"/>
              </w:rPr>
              <w:t>10</w:t>
            </w:r>
            <w:r>
              <w:rPr>
                <w:rFonts w:hint="eastAsia" w:ascii="宋体" w:hAnsi="宋体"/>
                <w:color w:val="000000"/>
                <w:sz w:val="18"/>
                <w:szCs w:val="18"/>
              </w:rPr>
              <w:t>00</w:t>
            </w:r>
            <w:r>
              <w:rPr>
                <w:rFonts w:hint="eastAsia" w:ascii="宋体" w:hAnsi="宋体"/>
                <w:sz w:val="18"/>
                <w:szCs w:val="18"/>
              </w:rPr>
              <w:t>万</w:t>
            </w:r>
            <w:r>
              <w:rPr>
                <w:rFonts w:ascii="宋体" w:hAnsi="宋体"/>
                <w:sz w:val="18"/>
                <w:szCs w:val="18"/>
              </w:rPr>
              <w:t>元人民币；投标人须提供</w:t>
            </w:r>
            <w:r>
              <w:rPr>
                <w:rFonts w:hint="eastAsia" w:ascii="宋体" w:hAnsi="宋体"/>
                <w:sz w:val="18"/>
                <w:szCs w:val="18"/>
              </w:rPr>
              <w:t>近两年</w:t>
            </w:r>
            <w:r>
              <w:rPr>
                <w:rFonts w:ascii="宋体" w:hAnsi="宋体"/>
                <w:sz w:val="18"/>
                <w:szCs w:val="18"/>
              </w:rPr>
              <w:t>经会计师事务所审计的财务报告及报表</w:t>
            </w:r>
            <w:r>
              <w:rPr>
                <w:rFonts w:hint="eastAsia" w:ascii="宋体" w:hAnsi="宋体"/>
                <w:sz w:val="18"/>
                <w:szCs w:val="18"/>
              </w:rPr>
              <w:t>（2019年新注册公司不提供）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4．</w:t>
            </w:r>
            <w:r>
              <w:rPr>
                <w:rFonts w:ascii="宋体" w:hAnsi="宋体"/>
                <w:sz w:val="18"/>
                <w:szCs w:val="18"/>
              </w:rPr>
              <w:t>质量保证能力要求：投标物资生产厂具有有效的ISO9000系列质量管理体系认证，产品符合国家现行标准；投标产品生产厂具有</w:t>
            </w:r>
            <w:r>
              <w:rPr>
                <w:rFonts w:hint="eastAsia" w:ascii="宋体" w:hAnsi="宋体"/>
                <w:sz w:val="18"/>
                <w:szCs w:val="18"/>
              </w:rPr>
              <w:t>近三</w:t>
            </w:r>
            <w:r>
              <w:rPr>
                <w:rFonts w:ascii="宋体" w:hAnsi="宋体"/>
                <w:sz w:val="18"/>
                <w:szCs w:val="18"/>
              </w:rPr>
              <w:t>年（201</w:t>
            </w:r>
            <w:r>
              <w:rPr>
                <w:rFonts w:hint="eastAsia" w:ascii="宋体" w:hAnsi="宋体"/>
                <w:sz w:val="18"/>
                <w:szCs w:val="18"/>
              </w:rPr>
              <w:t>6</w:t>
            </w:r>
            <w:r>
              <w:rPr>
                <w:rFonts w:ascii="宋体" w:hAnsi="宋体"/>
                <w:sz w:val="18"/>
                <w:szCs w:val="18"/>
              </w:rPr>
              <w:t>、201</w:t>
            </w:r>
            <w:r>
              <w:rPr>
                <w:rFonts w:hint="eastAsia" w:ascii="宋体" w:hAnsi="宋体"/>
                <w:sz w:val="18"/>
                <w:szCs w:val="18"/>
              </w:rPr>
              <w:t>7</w:t>
            </w:r>
            <w:r>
              <w:rPr>
                <w:rFonts w:ascii="宋体" w:hAnsi="宋体"/>
                <w:sz w:val="18"/>
                <w:szCs w:val="18"/>
              </w:rPr>
              <w:t>、201</w:t>
            </w:r>
            <w:r>
              <w:rPr>
                <w:rFonts w:hint="eastAsia" w:ascii="宋体" w:hAnsi="宋体"/>
                <w:sz w:val="18"/>
                <w:szCs w:val="18"/>
              </w:rPr>
              <w:t>8</w:t>
            </w:r>
            <w:r>
              <w:rPr>
                <w:rFonts w:ascii="宋体" w:hAnsi="宋体"/>
                <w:sz w:val="18"/>
                <w:szCs w:val="18"/>
              </w:rPr>
              <w:t>）的省、部级</w:t>
            </w:r>
            <w:r>
              <w:rPr>
                <w:rFonts w:hint="eastAsia" w:ascii="宋体" w:hAnsi="宋体"/>
                <w:sz w:val="18"/>
                <w:szCs w:val="18"/>
              </w:rPr>
              <w:t>及</w:t>
            </w:r>
            <w:r>
              <w:rPr>
                <w:rFonts w:ascii="宋体" w:hAnsi="宋体"/>
                <w:sz w:val="18"/>
                <w:szCs w:val="18"/>
              </w:rPr>
              <w:t>以上专业检测机构出具的投标物资质量检验报告</w:t>
            </w:r>
            <w:r>
              <w:rPr>
                <w:rFonts w:hint="eastAsia" w:ascii="宋体" w:hAnsi="宋体"/>
                <w:sz w:val="18"/>
                <w:szCs w:val="18"/>
              </w:rPr>
              <w:t>（2018年新注册公司提供当年即可）</w:t>
            </w:r>
            <w:r>
              <w:rPr>
                <w:rFonts w:ascii="宋体" w:hAnsi="宋体"/>
                <w:sz w:val="18"/>
                <w:szCs w:val="18"/>
              </w:rPr>
              <w:t>。</w:t>
            </w:r>
            <w:r>
              <w:rPr>
                <w:rFonts w:ascii="宋体" w:hAnsi="宋体"/>
                <w:sz w:val="18"/>
                <w:szCs w:val="18"/>
              </w:rPr>
              <w:br w:type="textWrapping"/>
            </w:r>
            <w:r>
              <w:rPr>
                <w:rFonts w:ascii="宋体" w:hAnsi="宋体"/>
                <w:sz w:val="18"/>
                <w:szCs w:val="18"/>
              </w:rPr>
              <w:t>　　5．供货业绩要求：生产厂或代理商具有</w:t>
            </w:r>
            <w:r>
              <w:rPr>
                <w:rFonts w:hint="eastAsia" w:ascii="宋体" w:hAnsi="宋体"/>
                <w:sz w:val="18"/>
                <w:szCs w:val="18"/>
              </w:rPr>
              <w:t>近三</w:t>
            </w:r>
            <w:r>
              <w:rPr>
                <w:rFonts w:ascii="宋体" w:hAnsi="宋体"/>
                <w:sz w:val="18"/>
                <w:szCs w:val="18"/>
              </w:rPr>
              <w:t>年（201</w:t>
            </w:r>
            <w:r>
              <w:rPr>
                <w:rFonts w:hint="eastAsia" w:ascii="宋体" w:hAnsi="宋体"/>
                <w:sz w:val="18"/>
                <w:szCs w:val="18"/>
              </w:rPr>
              <w:t>6</w:t>
            </w:r>
            <w:r>
              <w:rPr>
                <w:rFonts w:ascii="宋体" w:hAnsi="宋体"/>
                <w:sz w:val="18"/>
                <w:szCs w:val="18"/>
              </w:rPr>
              <w:t>、201</w:t>
            </w:r>
            <w:r>
              <w:rPr>
                <w:rFonts w:hint="eastAsia" w:ascii="宋体" w:hAnsi="宋体"/>
                <w:sz w:val="18"/>
                <w:szCs w:val="18"/>
              </w:rPr>
              <w:t>7</w:t>
            </w:r>
            <w:r>
              <w:rPr>
                <w:rFonts w:ascii="宋体" w:hAnsi="宋体"/>
                <w:sz w:val="18"/>
                <w:szCs w:val="18"/>
              </w:rPr>
              <w:t>、201</w:t>
            </w:r>
            <w:r>
              <w:rPr>
                <w:rFonts w:hint="eastAsia" w:ascii="宋体" w:hAnsi="宋体"/>
                <w:sz w:val="18"/>
                <w:szCs w:val="18"/>
              </w:rPr>
              <w:t>8</w:t>
            </w:r>
            <w:r>
              <w:rPr>
                <w:rFonts w:ascii="宋体" w:hAnsi="宋体"/>
                <w:sz w:val="18"/>
                <w:szCs w:val="18"/>
              </w:rPr>
              <w:t>）</w:t>
            </w:r>
            <w:r>
              <w:rPr>
                <w:rFonts w:hint="eastAsia" w:ascii="宋体" w:hAnsi="宋体"/>
                <w:sz w:val="18"/>
                <w:szCs w:val="18"/>
              </w:rPr>
              <w:t>市政</w:t>
            </w:r>
            <w:r>
              <w:rPr>
                <w:rFonts w:ascii="宋体" w:hAnsi="宋体"/>
                <w:sz w:val="18"/>
                <w:szCs w:val="18"/>
              </w:rPr>
              <w:t>工程供货业绩（须附中标通知书复印件或供货合同复印件等）</w:t>
            </w:r>
            <w:r>
              <w:rPr>
                <w:rFonts w:hint="eastAsia" w:ascii="宋体" w:hAnsi="宋体"/>
                <w:sz w:val="18"/>
                <w:szCs w:val="18"/>
              </w:rPr>
              <w:t>（2019年新注册公司不提供）</w:t>
            </w:r>
            <w:r>
              <w:rPr>
                <w:rFonts w:ascii="宋体" w:hAnsi="宋体"/>
                <w:sz w:val="18"/>
                <w:szCs w:val="18"/>
              </w:rPr>
              <w:t>；</w:t>
            </w:r>
            <w:r>
              <w:rPr>
                <w:rFonts w:ascii="宋体" w:hAnsi="宋体"/>
                <w:sz w:val="18"/>
                <w:szCs w:val="18"/>
              </w:rPr>
              <w:br w:type="textWrapping"/>
            </w:r>
            <w:r>
              <w:rPr>
                <w:rFonts w:ascii="宋体" w:hAnsi="宋体"/>
                <w:sz w:val="18"/>
                <w:szCs w:val="18"/>
              </w:rPr>
              <w:t>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至少三家同类投标物资已供买方或使用单位出具的投标人履约情况证明；不接受在铁路总公司（原铁道部）处罚期内的投标单位</w:t>
            </w:r>
            <w:r>
              <w:rPr>
                <w:rFonts w:hint="eastAsia" w:ascii="宋体" w:hAnsi="宋体"/>
                <w:sz w:val="18"/>
                <w:szCs w:val="18"/>
              </w:rPr>
              <w:t>；</w:t>
            </w:r>
            <w:r>
              <w:rPr>
                <w:rFonts w:ascii="宋体" w:hAnsi="宋体"/>
                <w:sz w:val="18"/>
                <w:szCs w:val="18"/>
              </w:rPr>
              <w:t>不接受股份公司限制交易内的投标单位。</w:t>
            </w:r>
            <w:r>
              <w:rPr>
                <w:rFonts w:ascii="宋体" w:hAnsi="宋体"/>
                <w:sz w:val="18"/>
                <w:szCs w:val="18"/>
              </w:rPr>
              <w:br w:type="textWrapping"/>
            </w:r>
            <w:r>
              <w:rPr>
                <w:rFonts w:ascii="宋体" w:hAnsi="宋体"/>
                <w:sz w:val="18"/>
                <w:szCs w:val="18"/>
              </w:rPr>
              <w:t>　　7．其他要求：投标人如是代理商，必须有所代理生产厂出具的授权函原件，生产厂或代理商具备提供延伸服务的能力，具备跨地域的供应、集散能力。代理商投标时，生产厂家出具的授权书、营业执照复印件、承诺函等由生产厂提供的所有资料均须加盖生产厂公章（鲜章），上述资料应装订在正本内，否则其投标文件将会被否决。盖电子章的资料为无效资料。</w:t>
            </w:r>
          </w:p>
          <w:p>
            <w:pPr>
              <w:widowControl/>
              <w:spacing w:line="240" w:lineRule="auto"/>
              <w:ind w:firstLine="0" w:firstLineChars="0"/>
              <w:jc w:val="center"/>
              <w:textAlignment w:val="top"/>
              <w:rPr>
                <w:rFonts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0"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2</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塑料铜芯护套线</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B</w:t>
            </w:r>
            <w:r>
              <w:rPr>
                <w:rFonts w:ascii="宋体" w:hAnsi="宋体" w:cs="宋体"/>
                <w:b/>
                <w:color w:val="000000"/>
                <w:kern w:val="0"/>
                <w:sz w:val="15"/>
                <w:szCs w:val="15"/>
              </w:rPr>
              <w:t>VV-0.45/0.75KV-3*2.5</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米</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8</w:t>
            </w:r>
            <w:r>
              <w:rPr>
                <w:rFonts w:ascii="宋体" w:hAnsi="宋体" w:cs="宋体"/>
                <w:b/>
                <w:color w:val="000000"/>
                <w:kern w:val="0"/>
                <w:sz w:val="15"/>
                <w:szCs w:val="15"/>
              </w:rPr>
              <w:t>600</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continue"/>
            <w:noWrap w:val="0"/>
            <w:vAlign w:val="top"/>
          </w:tcPr>
          <w:p>
            <w:pPr>
              <w:widowControl/>
              <w:spacing w:line="240" w:lineRule="auto"/>
              <w:ind w:firstLine="360"/>
              <w:textAlignment w:val="top"/>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0"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3</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电力电缆</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Y</w:t>
            </w:r>
            <w:r>
              <w:rPr>
                <w:rFonts w:ascii="宋体" w:hAnsi="宋体" w:cs="宋体"/>
                <w:b/>
                <w:color w:val="000000"/>
                <w:kern w:val="0"/>
                <w:sz w:val="15"/>
                <w:szCs w:val="15"/>
              </w:rPr>
              <w:t>JV-0.6/1KV-5*16</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米</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1</w:t>
            </w:r>
            <w:r>
              <w:rPr>
                <w:rFonts w:ascii="宋体" w:hAnsi="宋体" w:cs="宋体"/>
                <w:b/>
                <w:color w:val="000000"/>
                <w:kern w:val="0"/>
                <w:sz w:val="15"/>
                <w:szCs w:val="15"/>
              </w:rPr>
              <w:t>1931</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continue"/>
            <w:noWrap w:val="0"/>
            <w:vAlign w:val="top"/>
          </w:tcPr>
          <w:p>
            <w:pPr>
              <w:widowControl/>
              <w:spacing w:line="240" w:lineRule="auto"/>
              <w:ind w:firstLine="360"/>
              <w:textAlignment w:val="top"/>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50"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4</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电力电缆</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Y</w:t>
            </w:r>
            <w:r>
              <w:rPr>
                <w:rFonts w:ascii="宋体" w:hAnsi="宋体" w:cs="宋体"/>
                <w:b/>
                <w:color w:val="000000"/>
                <w:kern w:val="0"/>
                <w:sz w:val="15"/>
                <w:szCs w:val="15"/>
              </w:rPr>
              <w:t>JV-0.6/1KV-5*6</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米</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3</w:t>
            </w:r>
            <w:r>
              <w:rPr>
                <w:rFonts w:ascii="宋体" w:hAnsi="宋体" w:cs="宋体"/>
                <w:b/>
                <w:color w:val="000000"/>
                <w:kern w:val="0"/>
                <w:sz w:val="15"/>
                <w:szCs w:val="15"/>
              </w:rPr>
              <w:t>00</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continue"/>
            <w:noWrap w:val="0"/>
            <w:vAlign w:val="top"/>
          </w:tcPr>
          <w:p>
            <w:pPr>
              <w:widowControl/>
              <w:spacing w:line="240" w:lineRule="auto"/>
              <w:ind w:firstLine="360"/>
              <w:textAlignment w:val="top"/>
              <w:rPr>
                <w:rFonts w:hint="eastAsia" w:ascii="宋体" w:hAnsi="宋体" w:cs="宋体"/>
                <w:color w:val="000000"/>
                <w:kern w:val="0"/>
                <w:sz w:val="18"/>
                <w:szCs w:val="18"/>
              </w:rPr>
            </w:pPr>
          </w:p>
        </w:tc>
      </w:tr>
    </w:tbl>
    <w:p>
      <w:pPr>
        <w:ind w:firstLine="480"/>
      </w:pPr>
    </w:p>
    <w:tbl>
      <w:tblPr>
        <w:tblStyle w:val="4"/>
        <w:tblpPr w:leftFromText="180" w:rightFromText="180" w:vertAnchor="text" w:horzAnchor="page" w:tblpX="1051" w:tblpY="227"/>
        <w:tblOverlap w:val="never"/>
        <w:tblW w:w="151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87"/>
        <w:gridCol w:w="1290"/>
        <w:gridCol w:w="1254"/>
        <w:gridCol w:w="412"/>
        <w:gridCol w:w="448"/>
        <w:gridCol w:w="631"/>
        <w:gridCol w:w="614"/>
        <w:gridCol w:w="509"/>
        <w:gridCol w:w="702"/>
        <w:gridCol w:w="9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7"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序号</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物资名称</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ascii="宋体" w:hAnsi="宋体" w:cs="宋体"/>
                <w:b/>
                <w:color w:val="000000"/>
                <w:kern w:val="0"/>
                <w:sz w:val="15"/>
                <w:szCs w:val="15"/>
              </w:rPr>
            </w:pPr>
            <w:r>
              <w:rPr>
                <w:rFonts w:hint="eastAsia" w:ascii="宋体" w:hAnsi="宋体" w:cs="宋体"/>
                <w:b/>
                <w:color w:val="000000"/>
                <w:kern w:val="0"/>
                <w:sz w:val="15"/>
                <w:szCs w:val="15"/>
              </w:rPr>
              <w:t>规格</w:t>
            </w:r>
          </w:p>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型号</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包件</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计量单位</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包件数量</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招标人名称</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包件售价（元）</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投标保证金（元）</w:t>
            </w:r>
          </w:p>
        </w:tc>
        <w:tc>
          <w:tcPr>
            <w:tcW w:w="9021" w:type="dxa"/>
            <w:noWrap w:val="0"/>
            <w:vAlign w:val="center"/>
          </w:tcPr>
          <w:p>
            <w:pPr>
              <w:widowControl/>
              <w:spacing w:line="240" w:lineRule="auto"/>
              <w:ind w:firstLine="482"/>
              <w:jc w:val="center"/>
              <w:textAlignment w:val="top"/>
              <w:rPr>
                <w:rFonts w:hint="eastAsia" w:ascii="宋体" w:hAnsi="宋体" w:cs="宋体"/>
                <w:b/>
                <w:bCs/>
                <w:color w:val="000000"/>
                <w:kern w:val="0"/>
                <w:sz w:val="18"/>
                <w:szCs w:val="18"/>
              </w:rPr>
            </w:pPr>
            <w:r>
              <w:rPr>
                <w:rFonts w:hint="eastAsia" w:ascii="宋体" w:hAnsi="宋体" w:cs="宋体"/>
                <w:b/>
                <w:bCs/>
                <w:color w:val="000000"/>
                <w:kern w:val="0"/>
              </w:rPr>
              <w:t>投标人资格条件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50"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5</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高压引线</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J</w:t>
            </w:r>
            <w:r>
              <w:rPr>
                <w:rFonts w:ascii="宋体" w:hAnsi="宋体" w:cs="宋体"/>
                <w:b/>
                <w:color w:val="000000"/>
                <w:kern w:val="0"/>
                <w:sz w:val="15"/>
                <w:szCs w:val="15"/>
              </w:rPr>
              <w:t>KLYJ-10KV-50</w:t>
            </w:r>
            <w:r>
              <w:rPr>
                <w:rFonts w:hint="eastAsia" w:ascii="宋体" w:hAnsi="宋体" w:cs="宋体"/>
                <w:b/>
                <w:color w:val="000000"/>
                <w:kern w:val="0"/>
                <w:sz w:val="15"/>
                <w:szCs w:val="15"/>
              </w:rPr>
              <w:t>mm²</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米</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8</w:t>
            </w:r>
            <w:r>
              <w:rPr>
                <w:rFonts w:ascii="宋体" w:hAnsi="宋体" w:cs="宋体"/>
                <w:b/>
                <w:color w:val="000000"/>
                <w:kern w:val="0"/>
                <w:sz w:val="15"/>
                <w:szCs w:val="15"/>
              </w:rPr>
              <w:t>0</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restart"/>
            <w:noWrap w:val="0"/>
            <w:vAlign w:val="center"/>
          </w:tcPr>
          <w:p>
            <w:pPr>
              <w:widowControl/>
              <w:spacing w:line="240" w:lineRule="auto"/>
              <w:ind w:firstLine="360"/>
              <w:jc w:val="center"/>
              <w:textAlignment w:val="top"/>
              <w:rPr>
                <w:rFonts w:hint="eastAsia" w:ascii="宋体" w:hAnsi="宋体" w:cs="宋体"/>
                <w:color w:val="000000"/>
                <w:kern w:val="0"/>
                <w:sz w:val="18"/>
                <w:szCs w:val="18"/>
              </w:rPr>
            </w:pPr>
            <w:r>
              <w:rPr>
                <w:rFonts w:hint="eastAsia" w:ascii="宋体" w:hAnsi="宋体" w:cs="宋体"/>
                <w:color w:val="000000"/>
                <w:kern w:val="0"/>
                <w:sz w:val="18"/>
                <w:szCs w:val="18"/>
              </w:rPr>
              <w:t>8.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50" w:hRule="atLeast"/>
        </w:trPr>
        <w:tc>
          <w:tcPr>
            <w:tcW w:w="287" w:type="dxa"/>
            <w:tcBorders>
              <w:top w:val="single" w:color="auto" w:sz="4" w:space="0"/>
              <w:left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ascii="宋体" w:hAnsi="宋体" w:cs="宋体"/>
                <w:b/>
                <w:color w:val="000000"/>
                <w:kern w:val="0"/>
                <w:sz w:val="15"/>
                <w:szCs w:val="15"/>
              </w:rPr>
              <w:t>6</w:t>
            </w:r>
          </w:p>
        </w:tc>
        <w:tc>
          <w:tcPr>
            <w:tcW w:w="1290"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户外高压电缆终端</w:t>
            </w:r>
          </w:p>
        </w:tc>
        <w:tc>
          <w:tcPr>
            <w:tcW w:w="1254" w:type="dxa"/>
            <w:tcBorders>
              <w:top w:val="single" w:color="auto" w:sz="4" w:space="0"/>
              <w:bottom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w:t>
            </w:r>
            <w:r>
              <w:rPr>
                <w:rFonts w:ascii="宋体" w:hAnsi="宋体" w:cs="宋体"/>
                <w:b/>
                <w:color w:val="000000"/>
                <w:kern w:val="0"/>
                <w:sz w:val="15"/>
                <w:szCs w:val="15"/>
              </w:rPr>
              <w:t>LS-3.1/25</w:t>
            </w:r>
            <w:r>
              <w:rPr>
                <w:rFonts w:hint="eastAsia" w:ascii="宋体" w:hAnsi="宋体" w:cs="宋体"/>
                <w:b/>
                <w:color w:val="000000"/>
                <w:kern w:val="0"/>
                <w:sz w:val="15"/>
                <w:szCs w:val="15"/>
              </w:rPr>
              <w:t>～5</w:t>
            </w:r>
            <w:r>
              <w:rPr>
                <w:rFonts w:ascii="宋体" w:hAnsi="宋体" w:cs="宋体"/>
                <w:b/>
                <w:color w:val="000000"/>
                <w:kern w:val="0"/>
                <w:sz w:val="15"/>
                <w:szCs w:val="15"/>
              </w:rPr>
              <w:t>0</w:t>
            </w:r>
          </w:p>
        </w:tc>
        <w:tc>
          <w:tcPr>
            <w:tcW w:w="41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套</w:t>
            </w:r>
          </w:p>
        </w:tc>
        <w:tc>
          <w:tcPr>
            <w:tcW w:w="631"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8</w:t>
            </w:r>
            <w:r>
              <w:rPr>
                <w:rFonts w:ascii="宋体" w:hAnsi="宋体" w:cs="宋体"/>
                <w:b/>
                <w:color w:val="000000"/>
                <w:kern w:val="0"/>
                <w:sz w:val="15"/>
                <w:szCs w:val="15"/>
              </w:rPr>
              <w:t>74</w:t>
            </w:r>
          </w:p>
        </w:tc>
        <w:tc>
          <w:tcPr>
            <w:tcW w:w="614"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bottom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continue"/>
            <w:noWrap w:val="0"/>
            <w:vAlign w:val="top"/>
          </w:tcPr>
          <w:p>
            <w:pPr>
              <w:widowControl/>
              <w:spacing w:line="240" w:lineRule="auto"/>
              <w:ind w:firstLine="360"/>
              <w:textAlignment w:val="top"/>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50" w:hRule="atLeast"/>
        </w:trPr>
        <w:tc>
          <w:tcPr>
            <w:tcW w:w="287" w:type="dxa"/>
            <w:tcBorders>
              <w:top w:val="single" w:color="auto" w:sz="4" w:space="0"/>
              <w:left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7</w:t>
            </w:r>
          </w:p>
        </w:tc>
        <w:tc>
          <w:tcPr>
            <w:tcW w:w="1290"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户内高压电缆终端</w:t>
            </w:r>
          </w:p>
        </w:tc>
        <w:tc>
          <w:tcPr>
            <w:tcW w:w="1254" w:type="dxa"/>
            <w:tcBorders>
              <w:top w:val="single" w:color="auto" w:sz="4" w:space="0"/>
            </w:tcBorders>
            <w:noWrap w:val="0"/>
            <w:vAlign w:val="center"/>
          </w:tcPr>
          <w:p>
            <w:pPr>
              <w:widowControl/>
              <w:spacing w:line="240" w:lineRule="auto"/>
              <w:ind w:firstLine="0" w:firstLineChars="0"/>
              <w:jc w:val="both"/>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N</w:t>
            </w:r>
            <w:r>
              <w:rPr>
                <w:rFonts w:ascii="宋体" w:hAnsi="宋体" w:cs="宋体"/>
                <w:b/>
                <w:color w:val="000000"/>
                <w:kern w:val="0"/>
                <w:sz w:val="15"/>
                <w:szCs w:val="15"/>
              </w:rPr>
              <w:t>LS-3.1/25</w:t>
            </w:r>
            <w:r>
              <w:rPr>
                <w:rFonts w:hint="eastAsia" w:ascii="宋体" w:hAnsi="宋体" w:cs="宋体"/>
                <w:b/>
                <w:color w:val="000000"/>
                <w:kern w:val="0"/>
                <w:sz w:val="15"/>
                <w:szCs w:val="15"/>
              </w:rPr>
              <w:t>～5</w:t>
            </w:r>
            <w:r>
              <w:rPr>
                <w:rFonts w:ascii="宋体" w:hAnsi="宋体" w:cs="宋体"/>
                <w:b/>
                <w:color w:val="000000"/>
                <w:kern w:val="0"/>
                <w:sz w:val="15"/>
                <w:szCs w:val="15"/>
              </w:rPr>
              <w:t>0</w:t>
            </w:r>
          </w:p>
        </w:tc>
        <w:tc>
          <w:tcPr>
            <w:tcW w:w="412"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Z</w:t>
            </w:r>
            <w:r>
              <w:rPr>
                <w:rFonts w:ascii="宋体" w:hAnsi="宋体"/>
                <w:b/>
                <w:sz w:val="15"/>
                <w:szCs w:val="15"/>
              </w:rPr>
              <w:t>SDL</w:t>
            </w:r>
          </w:p>
        </w:tc>
        <w:tc>
          <w:tcPr>
            <w:tcW w:w="448"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b/>
                <w:sz w:val="15"/>
                <w:szCs w:val="15"/>
              </w:rPr>
            </w:pPr>
            <w:r>
              <w:rPr>
                <w:rFonts w:hint="eastAsia" w:ascii="宋体" w:hAnsi="宋体"/>
                <w:b/>
                <w:sz w:val="15"/>
                <w:szCs w:val="15"/>
              </w:rPr>
              <w:t>套</w:t>
            </w:r>
          </w:p>
        </w:tc>
        <w:tc>
          <w:tcPr>
            <w:tcW w:w="631"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7</w:t>
            </w:r>
            <w:r>
              <w:rPr>
                <w:rFonts w:ascii="宋体" w:hAnsi="宋体" w:cs="宋体"/>
                <w:b/>
                <w:color w:val="000000"/>
                <w:kern w:val="0"/>
                <w:sz w:val="15"/>
                <w:szCs w:val="15"/>
              </w:rPr>
              <w:t>43</w:t>
            </w:r>
          </w:p>
        </w:tc>
        <w:tc>
          <w:tcPr>
            <w:tcW w:w="614"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中铁一局集团市政环保工程有限公司</w:t>
            </w:r>
          </w:p>
        </w:tc>
        <w:tc>
          <w:tcPr>
            <w:tcW w:w="509"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702" w:type="dxa"/>
            <w:tcBorders>
              <w:top w:val="single" w:color="auto" w:sz="4" w:space="0"/>
            </w:tcBorders>
            <w:noWrap w:val="0"/>
            <w:vAlign w:val="center"/>
          </w:tcPr>
          <w:p>
            <w:pPr>
              <w:widowControl/>
              <w:spacing w:line="240" w:lineRule="auto"/>
              <w:ind w:firstLine="0" w:firstLineChars="0"/>
              <w:jc w:val="center"/>
              <w:textAlignment w:val="center"/>
              <w:rPr>
                <w:rFonts w:hint="eastAsia" w:ascii="宋体" w:hAnsi="宋体" w:cs="宋体"/>
                <w:b/>
                <w:color w:val="000000"/>
                <w:kern w:val="0"/>
                <w:sz w:val="15"/>
                <w:szCs w:val="15"/>
              </w:rPr>
            </w:pPr>
            <w:r>
              <w:rPr>
                <w:rFonts w:hint="eastAsia" w:ascii="宋体" w:hAnsi="宋体" w:cs="宋体"/>
                <w:b/>
                <w:color w:val="000000"/>
                <w:kern w:val="0"/>
                <w:sz w:val="15"/>
                <w:szCs w:val="15"/>
              </w:rPr>
              <w:t>×</w:t>
            </w:r>
          </w:p>
        </w:tc>
        <w:tc>
          <w:tcPr>
            <w:tcW w:w="9021" w:type="dxa"/>
            <w:vMerge w:val="continue"/>
            <w:noWrap w:val="0"/>
            <w:vAlign w:val="top"/>
          </w:tcPr>
          <w:p>
            <w:pPr>
              <w:widowControl/>
              <w:spacing w:line="240" w:lineRule="auto"/>
              <w:ind w:firstLine="360"/>
              <w:textAlignment w:val="top"/>
              <w:rPr>
                <w:rFonts w:hint="eastAsia" w:ascii="宋体" w:hAnsi="宋体" w:cs="宋体"/>
                <w:color w:val="000000"/>
                <w:kern w:val="0"/>
                <w:sz w:val="18"/>
                <w:szCs w:val="18"/>
              </w:rPr>
            </w:pPr>
          </w:p>
        </w:tc>
      </w:tr>
    </w:tbl>
    <w:p>
      <w:pPr>
        <w:pStyle w:val="2"/>
        <w:tabs>
          <w:tab w:val="center" w:pos="7285"/>
        </w:tabs>
        <w:ind w:left="0" w:leftChars="0" w:firstLine="0" w:firstLineChars="0"/>
        <w:rPr>
          <w:rFonts w:hint="eastAsia" w:ascii="宋体" w:hAnsi="宋体"/>
          <w:b/>
        </w:rPr>
      </w:pPr>
      <w:r>
        <w:rPr>
          <w:rFonts w:hint="eastAsia" w:ascii="宋体" w:hAnsi="宋体"/>
          <w:b/>
        </w:rPr>
        <w:tab/>
      </w:r>
    </w:p>
    <w:p>
      <w:pPr>
        <w:pStyle w:val="2"/>
        <w:ind w:left="1440" w:firstLine="480"/>
        <w:sectPr>
          <w:pgSz w:w="16838" w:h="11906" w:orient="landscape"/>
          <w:pgMar w:top="1474" w:right="1134" w:bottom="1191" w:left="1134" w:header="851" w:footer="1134" w:gutter="0"/>
          <w:pgNumType w:start="1"/>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9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0"/>
    <w:pPr>
      <w:ind w:left="600" w:leftChars="600" w:firstLine="210"/>
    </w:pPr>
    <w:rPr>
      <w:kern w:val="2"/>
      <w:sz w:val="24"/>
    </w:rPr>
  </w:style>
  <w:style w:type="paragraph" w:styleId="3">
    <w:name w:val="Body Text Indent"/>
    <w:basedOn w:val="1"/>
    <w:uiPriority w:val="0"/>
    <w:pPr>
      <w:spacing w:after="120"/>
      <w:ind w:left="420" w:leftChars="20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2019-11-19T12:45:38Z</dcterms:created>
  <dc:creator>Administrator</dc:creator>
  <cp:lastModifiedBy>☆sp淩雲厛雨</cp:lastModifiedBy>
  <dcterms:modified xsi:type="dcterms:W3CDTF">2019-11-19T12:45:59Z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