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rPr>
          <w:rFonts w:asciiTheme="majorEastAsia" w:hAnsiTheme="majorEastAsia" w:eastAsiaTheme="majorEastAsia"/>
          <w:b/>
          <w:sz w:val="52"/>
          <w:szCs w:val="52"/>
        </w:rPr>
      </w:pPr>
      <w:r>
        <w:rPr>
          <w:rFonts w:hint="eastAsia" w:asciiTheme="majorEastAsia" w:hAnsiTheme="majorEastAsia" w:eastAsiaTheme="majorEastAsia"/>
          <w:b/>
          <w:sz w:val="44"/>
          <w:szCs w:val="44"/>
        </w:rPr>
        <w:t>中铁城建集团第一工程有限公司(</w:t>
      </w:r>
      <w:r>
        <w:rPr>
          <w:rFonts w:hint="eastAsia" w:asciiTheme="majorEastAsia" w:hAnsiTheme="majorEastAsia" w:eastAsiaTheme="majorEastAsia"/>
          <w:b/>
          <w:sz w:val="44"/>
          <w:szCs w:val="44"/>
          <w:u w:val="single"/>
        </w:rPr>
        <w:t>电缆</w:t>
      </w:r>
      <w:r>
        <w:rPr>
          <w:rFonts w:hint="eastAsia" w:asciiTheme="majorEastAsia" w:hAnsiTheme="majorEastAsia" w:eastAsiaTheme="majorEastAsia"/>
          <w:b/>
          <w:sz w:val="44"/>
          <w:szCs w:val="44"/>
        </w:rPr>
        <w:t>)采</w:t>
      </w:r>
      <w:r>
        <w:rPr>
          <w:rFonts w:hint="eastAsia" w:asciiTheme="majorEastAsia" w:hAnsiTheme="majorEastAsia" w:eastAsiaTheme="majorEastAsia"/>
          <w:b/>
          <w:sz w:val="48"/>
          <w:szCs w:val="48"/>
        </w:rPr>
        <w:t>购</w:t>
      </w:r>
    </w:p>
    <w:p>
      <w:pPr>
        <w:jc w:val="center"/>
        <w:rPr>
          <w:rFonts w:ascii="方正小标宋简体" w:eastAsia="方正小标宋简体"/>
          <w:sz w:val="44"/>
          <w:szCs w:val="44"/>
        </w:rPr>
      </w:pPr>
    </w:p>
    <w:p>
      <w:pPr>
        <w:jc w:val="center"/>
        <w:rPr>
          <w:rFonts w:ascii="方正小标宋简体" w:eastAsia="方正小标宋简体"/>
          <w:sz w:val="44"/>
          <w:szCs w:val="44"/>
        </w:rPr>
      </w:pPr>
    </w:p>
    <w:p>
      <w:pPr>
        <w:jc w:val="center"/>
        <w:rPr>
          <w:rFonts w:ascii="方正小标宋简体" w:eastAsia="方正小标宋简体"/>
          <w:b/>
          <w:sz w:val="84"/>
          <w:szCs w:val="84"/>
        </w:rPr>
      </w:pPr>
      <w:r>
        <w:rPr>
          <w:rFonts w:hint="eastAsia" w:ascii="方正小标宋简体" w:eastAsia="方正小标宋简体"/>
          <w:b/>
          <w:sz w:val="84"/>
          <w:szCs w:val="84"/>
        </w:rPr>
        <w:t>招 标 文 件</w:t>
      </w:r>
    </w:p>
    <w:p>
      <w:pPr>
        <w:jc w:val="center"/>
        <w:rPr>
          <w:rFonts w:asciiTheme="minorEastAsia" w:hAnsiTheme="minorEastAsia" w:eastAsiaTheme="minorEastAsia"/>
          <w:sz w:val="32"/>
          <w:szCs w:val="32"/>
        </w:rPr>
      </w:pPr>
    </w:p>
    <w:p>
      <w:pPr>
        <w:jc w:val="center"/>
        <w:rPr>
          <w:rFonts w:hint="default" w:asciiTheme="minorEastAsia" w:hAnsiTheme="minorEastAsia" w:eastAsiaTheme="minorEastAsia"/>
          <w:sz w:val="44"/>
          <w:szCs w:val="44"/>
          <w:lang w:val="en-US" w:eastAsia="zh-CN"/>
        </w:rPr>
      </w:pPr>
      <w:r>
        <w:rPr>
          <w:rFonts w:hint="eastAsia" w:asciiTheme="minorEastAsia" w:hAnsiTheme="minorEastAsia" w:eastAsiaTheme="minorEastAsia"/>
          <w:sz w:val="32"/>
          <w:szCs w:val="32"/>
        </w:rPr>
        <w:t>招标编号：</w:t>
      </w:r>
      <w:r>
        <w:rPr>
          <w:rFonts w:hint="eastAsia" w:asciiTheme="minorEastAsia" w:hAnsiTheme="minorEastAsia" w:eastAsiaTheme="minorEastAsia"/>
          <w:sz w:val="36"/>
          <w:szCs w:val="36"/>
          <w:u w:val="single"/>
        </w:rPr>
        <w:t>CRUCG1-ZCGJGC-DXDLCG-20190</w:t>
      </w:r>
      <w:r>
        <w:rPr>
          <w:rFonts w:hint="eastAsia" w:asciiTheme="minorEastAsia" w:hAnsiTheme="minorEastAsia" w:eastAsiaTheme="minorEastAsia"/>
          <w:sz w:val="36"/>
          <w:szCs w:val="36"/>
          <w:u w:val="single"/>
          <w:lang w:val="en-US" w:eastAsia="zh-CN"/>
        </w:rPr>
        <w:t>910</w:t>
      </w:r>
    </w:p>
    <w:p>
      <w:pPr>
        <w:jc w:val="both"/>
        <w:rPr>
          <w:rFonts w:asciiTheme="minorEastAsia" w:hAnsiTheme="minorEastAsia" w:eastAsiaTheme="minorEastAsia"/>
          <w:sz w:val="44"/>
          <w:szCs w:val="44"/>
        </w:rPr>
      </w:pPr>
    </w:p>
    <w:p>
      <w:pPr>
        <w:jc w:val="center"/>
        <w:rPr>
          <w:rFonts w:ascii="方正小标宋简体" w:eastAsia="方正小标宋简体"/>
          <w:sz w:val="44"/>
          <w:szCs w:val="44"/>
        </w:rPr>
      </w:pPr>
      <w:r>
        <w:rPr>
          <w:rFonts w:hint="eastAsia" w:ascii="方正小标宋简体" w:eastAsia="方正小标宋简体"/>
          <w:sz w:val="44"/>
          <w:szCs w:val="44"/>
        </w:rPr>
        <w:drawing>
          <wp:inline distT="0" distB="0" distL="114300" distR="114300">
            <wp:extent cx="2319655" cy="1870710"/>
            <wp:effectExtent l="0" t="0" r="4445" b="15240"/>
            <wp:docPr id="3" name="图片 3" descr="徽标（中铁城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徽标（中铁城建）"/>
                    <pic:cNvPicPr>
                      <a:picLocks noChangeAspect="1"/>
                    </pic:cNvPicPr>
                  </pic:nvPicPr>
                  <pic:blipFill>
                    <a:blip r:embed="rId29" cstate="print"/>
                    <a:stretch>
                      <a:fillRect/>
                    </a:stretch>
                  </pic:blipFill>
                  <pic:spPr>
                    <a:xfrm>
                      <a:off x="0" y="0"/>
                      <a:ext cx="2319655" cy="1870710"/>
                    </a:xfrm>
                    <a:prstGeom prst="rect">
                      <a:avLst/>
                    </a:prstGeom>
                  </pic:spPr>
                </pic:pic>
              </a:graphicData>
            </a:graphic>
          </wp:inline>
        </w:drawing>
      </w:r>
    </w:p>
    <w:p>
      <w:pPr>
        <w:spacing w:line="360" w:lineRule="auto"/>
        <w:jc w:val="left"/>
        <w:rPr>
          <w:rFonts w:ascii="仿宋_GB2312" w:eastAsia="仿宋_GB2312"/>
          <w:sz w:val="32"/>
          <w:szCs w:val="32"/>
          <w:u w:val="single"/>
        </w:rPr>
      </w:pPr>
    </w:p>
    <w:p>
      <w:pPr>
        <w:spacing w:line="360" w:lineRule="auto"/>
        <w:jc w:val="left"/>
        <w:rPr>
          <w:rFonts w:ascii="仿宋_GB2312" w:eastAsia="仿宋_GB2312"/>
          <w:sz w:val="32"/>
          <w:szCs w:val="32"/>
        </w:rPr>
      </w:pPr>
    </w:p>
    <w:p>
      <w:pPr>
        <w:spacing w:line="360" w:lineRule="auto"/>
        <w:jc w:val="left"/>
        <w:rPr>
          <w:rFonts w:ascii="仿宋_GB2312" w:eastAsia="仿宋_GB2312"/>
          <w:sz w:val="32"/>
          <w:szCs w:val="32"/>
        </w:rPr>
      </w:pPr>
    </w:p>
    <w:p>
      <w:pPr>
        <w:spacing w:line="360" w:lineRule="auto"/>
        <w:jc w:val="center"/>
        <w:rPr>
          <w:rFonts w:ascii="仿宋_GB2312" w:eastAsia="仿宋_GB2312"/>
          <w:sz w:val="32"/>
          <w:szCs w:val="32"/>
          <w:u w:val="single"/>
        </w:rPr>
      </w:pPr>
      <w:r>
        <w:rPr>
          <w:rFonts w:hint="eastAsia" w:ascii="仿宋_GB2312" w:eastAsia="仿宋_GB2312"/>
          <w:sz w:val="32"/>
          <w:szCs w:val="32"/>
        </w:rPr>
        <w:t>招标人：中铁城建集团第一工程有限公司中车·国际广场三期项目施工总承包工程(一标段)</w:t>
      </w:r>
      <w:r>
        <w:rPr>
          <w:rFonts w:ascii="仿宋_GB2312" w:eastAsia="仿宋_GB2312"/>
          <w:sz w:val="32"/>
          <w:szCs w:val="32"/>
        </w:rPr>
        <w:t xml:space="preserve"> </w:t>
      </w:r>
      <w:r>
        <w:rPr>
          <w:rFonts w:hint="eastAsia" w:ascii="仿宋_GB2312" w:eastAsia="仿宋_GB2312"/>
          <w:sz w:val="32"/>
          <w:szCs w:val="32"/>
        </w:rPr>
        <w:t>项目经理部</w:t>
      </w:r>
    </w:p>
    <w:p>
      <w:pPr>
        <w:spacing w:line="440" w:lineRule="exact"/>
        <w:ind w:left="1210" w:hanging="1209" w:hangingChars="378"/>
        <w:jc w:val="center"/>
        <w:rPr>
          <w:rFonts w:ascii="仿宋_GB2312" w:eastAsia="仿宋_GB2312"/>
          <w:sz w:val="32"/>
          <w:szCs w:val="32"/>
          <w:u w:val="single"/>
        </w:rPr>
        <w:sectPr>
          <w:headerReference r:id="rId5" w:type="first"/>
          <w:footerReference r:id="rId8" w:type="first"/>
          <w:headerReference r:id="rId3" w:type="default"/>
          <w:footerReference r:id="rId6" w:type="default"/>
          <w:headerReference r:id="rId4" w:type="even"/>
          <w:footerReference r:id="rId7" w:type="even"/>
          <w:pgSz w:w="11907" w:h="16840"/>
          <w:pgMar w:top="2098" w:right="1474" w:bottom="1985" w:left="1588" w:header="851" w:footer="851" w:gutter="0"/>
          <w:pgNumType w:start="1"/>
          <w:cols w:space="425" w:num="1"/>
          <w:titlePg/>
          <w:docGrid w:linePitch="312" w:charSpace="0"/>
        </w:sectPr>
      </w:pPr>
      <w:r>
        <w:rPr>
          <w:rFonts w:hint="eastAsia" w:ascii="仿宋_GB2312" w:eastAsia="仿宋_GB2312"/>
          <w:sz w:val="32"/>
          <w:szCs w:val="32"/>
        </w:rPr>
        <w:t>二〇一九年</w:t>
      </w:r>
      <w:r>
        <w:rPr>
          <w:rFonts w:hint="eastAsia" w:ascii="仿宋_GB2312" w:eastAsia="仿宋_GB2312"/>
          <w:sz w:val="32"/>
          <w:szCs w:val="32"/>
          <w:lang w:eastAsia="zh-CN"/>
        </w:rPr>
        <w:t>九</w:t>
      </w:r>
      <w:r>
        <w:rPr>
          <w:rFonts w:hint="eastAsia" w:ascii="仿宋_GB2312" w:eastAsia="仿宋_GB2312"/>
          <w:sz w:val="32"/>
          <w:szCs w:val="32"/>
        </w:rPr>
        <w:t>月</w:t>
      </w:r>
    </w:p>
    <w:p>
      <w:pPr>
        <w:pStyle w:val="29"/>
        <w:tabs>
          <w:tab w:val="left" w:pos="1470"/>
          <w:tab w:val="right" w:leader="dot" w:pos="8835"/>
        </w:tabs>
        <w:spacing w:afterLines="100"/>
        <w:ind w:left="0" w:leftChars="0"/>
        <w:jc w:val="center"/>
        <w:rPr>
          <w:rFonts w:ascii="方正小标宋简体" w:hAnsi="宋体" w:eastAsia="方正小标宋简体"/>
          <w:iCs/>
          <w:smallCaps/>
          <w:sz w:val="36"/>
          <w:szCs w:val="36"/>
        </w:rPr>
      </w:pPr>
      <w:r>
        <w:rPr>
          <w:rFonts w:hint="eastAsia" w:ascii="方正小标宋简体" w:hAnsi="宋体" w:eastAsia="方正小标宋简体"/>
          <w:iCs/>
          <w:smallCaps/>
          <w:sz w:val="36"/>
          <w:szCs w:val="36"/>
        </w:rPr>
        <w:t>目  录</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招标公告</w:t>
      </w:r>
      <w:r>
        <w:rPr>
          <w:rFonts w:hint="eastAsia" w:ascii="宋体" w:hAnsi="宋体" w:cs="宋体"/>
          <w:iCs/>
          <w:smallCaps/>
          <w:sz w:val="28"/>
          <w:szCs w:val="28"/>
        </w:rPr>
        <w:tab/>
      </w:r>
      <w:r>
        <w:rPr>
          <w:rFonts w:hint="eastAsia" w:ascii="宋体" w:hAnsi="宋体" w:cs="宋体"/>
          <w:iCs/>
          <w:smallCaps/>
          <w:sz w:val="28"/>
          <w:szCs w:val="28"/>
        </w:rPr>
        <w:t>1</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投标人须知</w:t>
      </w:r>
      <w:r>
        <w:rPr>
          <w:rFonts w:hint="eastAsia" w:ascii="宋体" w:hAnsi="宋体" w:cs="宋体"/>
          <w:iCs/>
          <w:smallCaps/>
          <w:sz w:val="28"/>
          <w:szCs w:val="28"/>
        </w:rPr>
        <w:tab/>
      </w:r>
      <w:r>
        <w:rPr>
          <w:rFonts w:hint="eastAsia" w:ascii="宋体" w:hAnsi="宋体" w:cs="宋体"/>
          <w:iCs/>
          <w:smallCaps/>
          <w:sz w:val="28"/>
          <w:szCs w:val="28"/>
        </w:rPr>
        <w:t>5</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物资需求一览表</w:t>
      </w:r>
      <w:r>
        <w:rPr>
          <w:rFonts w:hint="eastAsia" w:ascii="宋体" w:hAnsi="宋体" w:cs="宋体"/>
          <w:iCs/>
          <w:smallCaps/>
          <w:sz w:val="28"/>
          <w:szCs w:val="28"/>
        </w:rPr>
        <w:tab/>
      </w:r>
      <w:r>
        <w:rPr>
          <w:rFonts w:hint="eastAsia" w:ascii="宋体" w:hAnsi="宋体" w:cs="宋体"/>
          <w:iCs/>
          <w:smallCaps/>
          <w:sz w:val="28"/>
          <w:szCs w:val="28"/>
        </w:rPr>
        <w:t>10</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技术规格书</w:t>
      </w:r>
      <w:r>
        <w:rPr>
          <w:rFonts w:hint="eastAsia" w:ascii="宋体" w:hAnsi="宋体" w:cs="宋体"/>
          <w:iCs/>
          <w:smallCaps/>
          <w:sz w:val="28"/>
          <w:szCs w:val="28"/>
        </w:rPr>
        <w:tab/>
      </w:r>
      <w:r>
        <w:rPr>
          <w:rFonts w:hint="eastAsia" w:ascii="宋体" w:hAnsi="宋体" w:cs="宋体"/>
          <w:iCs/>
          <w:smallCaps/>
          <w:sz w:val="28"/>
          <w:szCs w:val="28"/>
        </w:rPr>
        <w:t>11</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合同文件</w:t>
      </w:r>
      <w:r>
        <w:rPr>
          <w:rFonts w:hint="eastAsia" w:ascii="宋体" w:hAnsi="宋体" w:cs="宋体"/>
          <w:iCs/>
          <w:smallCaps/>
          <w:sz w:val="28"/>
          <w:szCs w:val="28"/>
        </w:rPr>
        <w:tab/>
      </w:r>
      <w:r>
        <w:rPr>
          <w:rFonts w:hint="eastAsia" w:ascii="宋体" w:hAnsi="宋体" w:cs="宋体"/>
          <w:iCs/>
          <w:smallCaps/>
          <w:sz w:val="28"/>
          <w:szCs w:val="28"/>
        </w:rPr>
        <w:t>12</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评标办法</w:t>
      </w:r>
      <w:r>
        <w:rPr>
          <w:rFonts w:hint="eastAsia" w:ascii="宋体" w:hAnsi="宋体" w:cs="宋体"/>
          <w:iCs/>
          <w:smallCaps/>
          <w:sz w:val="28"/>
          <w:szCs w:val="28"/>
        </w:rPr>
        <w:tab/>
      </w:r>
      <w:r>
        <w:rPr>
          <w:rFonts w:hint="eastAsia" w:ascii="宋体" w:hAnsi="宋体" w:cs="宋体"/>
          <w:iCs/>
          <w:smallCaps/>
          <w:sz w:val="28"/>
          <w:szCs w:val="28"/>
        </w:rPr>
        <w:t>13</w:t>
      </w:r>
    </w:p>
    <w:p>
      <w:pPr>
        <w:tabs>
          <w:tab w:val="left" w:leader="middleDot" w:pos="8400"/>
        </w:tabs>
        <w:spacing w:line="480" w:lineRule="auto"/>
        <w:rPr>
          <w:rFonts w:ascii="宋体" w:hAnsi="宋体" w:cs="宋体"/>
          <w:iCs/>
          <w:smallCaps/>
          <w:sz w:val="28"/>
          <w:szCs w:val="28"/>
        </w:rPr>
      </w:pPr>
      <w:r>
        <w:rPr>
          <w:rFonts w:hint="eastAsia" w:ascii="宋体" w:hAnsi="宋体" w:cs="宋体"/>
          <w:iCs/>
          <w:smallCaps/>
          <w:sz w:val="28"/>
          <w:szCs w:val="28"/>
        </w:rPr>
        <w:t>投标文件格式</w:t>
      </w:r>
      <w:r>
        <w:rPr>
          <w:rFonts w:hint="eastAsia" w:ascii="宋体" w:hAnsi="宋体" w:cs="宋体"/>
          <w:iCs/>
          <w:smallCaps/>
          <w:sz w:val="28"/>
          <w:szCs w:val="28"/>
        </w:rPr>
        <w:tab/>
      </w:r>
      <w:r>
        <w:rPr>
          <w:rFonts w:hint="eastAsia" w:ascii="宋体" w:hAnsi="宋体" w:cs="宋体"/>
          <w:iCs/>
          <w:smallCaps/>
          <w:sz w:val="28"/>
          <w:szCs w:val="28"/>
        </w:rPr>
        <w:t>17</w:t>
      </w:r>
    </w:p>
    <w:p>
      <w:pPr>
        <w:rPr>
          <w:rFonts w:ascii="黑体" w:hAnsi="黑体" w:eastAsia="黑体"/>
          <w:szCs w:val="32"/>
        </w:rPr>
      </w:pPr>
    </w:p>
    <w:p>
      <w:pPr>
        <w:spacing w:line="360" w:lineRule="auto"/>
        <w:jc w:val="center"/>
        <w:rPr>
          <w:rFonts w:ascii="黑体" w:hAnsi="黑体" w:eastAsia="黑体"/>
          <w:sz w:val="32"/>
          <w:szCs w:val="32"/>
        </w:rPr>
        <w:sectPr>
          <w:headerReference r:id="rId9" w:type="first"/>
          <w:footerReference r:id="rId12" w:type="first"/>
          <w:footerReference r:id="rId10" w:type="default"/>
          <w:footerReference r:id="rId11" w:type="even"/>
          <w:pgSz w:w="11907" w:h="16840"/>
          <w:pgMar w:top="2098" w:right="1474" w:bottom="1985" w:left="1588" w:header="851" w:footer="851" w:gutter="0"/>
          <w:cols w:space="425" w:num="1"/>
          <w:titlePg/>
          <w:docGrid w:linePitch="312" w:charSpace="0"/>
        </w:sectPr>
      </w:pPr>
    </w:p>
    <w:p>
      <w:pPr>
        <w:pStyle w:val="16"/>
        <w:adjustRightInd w:val="0"/>
        <w:snapToGrid w:val="0"/>
        <w:spacing w:line="560" w:lineRule="exact"/>
        <w:jc w:val="center"/>
        <w:rPr>
          <w:rFonts w:ascii="Times New Roman" w:eastAsia="黑体"/>
          <w:color w:val="FF0000"/>
          <w:sz w:val="36"/>
          <w:szCs w:val="36"/>
        </w:rPr>
      </w:pPr>
      <w:bookmarkStart w:id="0" w:name="_Toc261444463"/>
      <w:r>
        <w:rPr>
          <w:rFonts w:hint="eastAsia" w:ascii="Times New Roman" w:eastAsia="黑体"/>
          <w:color w:val="FF0000"/>
          <w:sz w:val="36"/>
          <w:szCs w:val="36"/>
        </w:rPr>
        <w:t>中铁城建集团第一工程有限公司</w:t>
      </w:r>
      <w:bookmarkStart w:id="586" w:name="_GoBack"/>
      <w:bookmarkEnd w:id="586"/>
      <w:r>
        <w:rPr>
          <w:rFonts w:hint="eastAsia" w:ascii="Times New Roman" w:eastAsia="黑体"/>
          <w:color w:val="FF0000"/>
          <w:sz w:val="36"/>
          <w:szCs w:val="36"/>
        </w:rPr>
        <w:t>中车·国际广场三期项目施工总承包工程(一标段)</w:t>
      </w:r>
      <w:r>
        <w:rPr>
          <w:rFonts w:ascii="Times New Roman" w:eastAsia="黑体"/>
          <w:color w:val="FF0000"/>
          <w:sz w:val="36"/>
          <w:szCs w:val="36"/>
        </w:rPr>
        <w:t xml:space="preserve"> </w:t>
      </w:r>
      <w:r>
        <w:rPr>
          <w:rFonts w:hint="eastAsia" w:ascii="Times New Roman" w:eastAsia="黑体"/>
          <w:color w:val="FF0000"/>
          <w:sz w:val="36"/>
          <w:szCs w:val="36"/>
        </w:rPr>
        <w:t>项目经理部</w:t>
      </w:r>
      <w:r>
        <w:rPr>
          <w:rFonts w:hint="eastAsia" w:eastAsia="黑体"/>
          <w:color w:val="FF0000"/>
          <w:sz w:val="36"/>
          <w:szCs w:val="36"/>
        </w:rPr>
        <w:t>物资（</w:t>
      </w:r>
      <w:r>
        <w:rPr>
          <w:rFonts w:hint="eastAsia" w:ascii="Times New Roman" w:eastAsia="黑体"/>
          <w:color w:val="FF0000"/>
          <w:sz w:val="36"/>
          <w:szCs w:val="36"/>
          <w:u w:val="single"/>
          <w:lang w:eastAsia="zh-CN"/>
        </w:rPr>
        <w:t>电缆</w:t>
      </w:r>
      <w:r>
        <w:rPr>
          <w:rFonts w:hint="eastAsia" w:eastAsia="黑体"/>
          <w:color w:val="FF0000"/>
          <w:sz w:val="36"/>
          <w:szCs w:val="36"/>
        </w:rPr>
        <w:t>）采购招标公告</w:t>
      </w:r>
    </w:p>
    <w:p>
      <w:pPr>
        <w:widowControl/>
        <w:spacing w:line="300" w:lineRule="atLeast"/>
        <w:jc w:val="center"/>
        <w:rPr>
          <w:rFonts w:hint="eastAsia" w:ascii="ˎ̥" w:hAnsi="ˎ̥" w:cs="宋体"/>
          <w:color w:val="636363"/>
          <w:kern w:val="0"/>
          <w:sz w:val="18"/>
          <w:szCs w:val="18"/>
        </w:rPr>
      </w:pPr>
      <w:r>
        <w:rPr>
          <w:rFonts w:ascii="ˎ̥" w:hAnsi="ˎ̥" w:cs="宋体"/>
          <w:color w:val="636363"/>
          <w:kern w:val="0"/>
          <w:sz w:val="18"/>
          <w:szCs w:val="18"/>
        </w:rPr>
        <w:pict>
          <v:rect id="_x0000_i1025" o:spt="1" style="height:2.25pt;width:447.9pt;" fillcolor="#FF0000" filled="t" o:preferrelative="t" stroked="f" coordsize="21600,21600" o:hr="t" o:hrstd="t" o:hrnoshade="t" o:hralign="center">
            <v:path/>
            <v:fill on="t" focussize="0,0"/>
            <v:stroke on="f"/>
            <v:imagedata o:title=""/>
            <o:lock v:ext="edit"/>
            <w10:wrap type="none"/>
            <w10:anchorlock/>
          </v:rect>
        </w:pict>
      </w:r>
    </w:p>
    <w:p>
      <w:pPr>
        <w:spacing w:before="240" w:after="240" w:line="360" w:lineRule="auto"/>
        <w:jc w:val="right"/>
        <w:rPr>
          <w:rFonts w:hint="default" w:eastAsia="宋体"/>
          <w:b/>
          <w:szCs w:val="21"/>
          <w:lang w:val="en-US" w:eastAsia="zh-CN"/>
        </w:rPr>
      </w:pPr>
      <w:r>
        <w:rPr>
          <w:rFonts w:hint="eastAsia"/>
          <w:b/>
          <w:szCs w:val="21"/>
        </w:rPr>
        <w:t>招标编号：CRUCG1-ZCGJGC-DXDLCG-20190</w:t>
      </w:r>
      <w:r>
        <w:rPr>
          <w:rFonts w:hint="eastAsia"/>
          <w:b/>
          <w:szCs w:val="21"/>
          <w:lang w:val="en-US" w:eastAsia="zh-CN"/>
        </w:rPr>
        <w:t>910</w:t>
      </w:r>
    </w:p>
    <w:p>
      <w:pPr>
        <w:spacing w:afterLines="50"/>
        <w:rPr>
          <w:rFonts w:asciiTheme="minorEastAsia" w:hAnsiTheme="minorEastAsia" w:eastAsiaTheme="minorEastAsia"/>
          <w:b/>
          <w:bCs/>
          <w:sz w:val="24"/>
        </w:rPr>
      </w:pPr>
      <w:bookmarkStart w:id="1" w:name="_Toc440491910"/>
      <w:bookmarkStart w:id="2" w:name="_Toc6553"/>
      <w:r>
        <w:rPr>
          <w:rFonts w:hint="eastAsia" w:asciiTheme="minorEastAsia" w:hAnsiTheme="minorEastAsia" w:eastAsiaTheme="minorEastAsia"/>
          <w:b/>
          <w:bCs/>
          <w:sz w:val="24"/>
        </w:rPr>
        <w:t>1．招标条件</w:t>
      </w:r>
      <w:bookmarkEnd w:id="1"/>
      <w:bookmarkEnd w:id="2"/>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本招标项目</w:t>
      </w:r>
      <w:r>
        <w:rPr>
          <w:rFonts w:hint="eastAsia" w:asciiTheme="minorEastAsia" w:hAnsiTheme="minorEastAsia" w:eastAsiaTheme="minorEastAsia"/>
          <w:color w:val="000000"/>
          <w:sz w:val="24"/>
          <w:u w:val="single"/>
        </w:rPr>
        <w:t>中铁城建集团第一工程有限公司中车·国际广场三期项目施工总承包工程(一标段)</w:t>
      </w:r>
      <w:r>
        <w:rPr>
          <w:rFonts w:asciiTheme="minorEastAsia" w:hAnsiTheme="minorEastAsia" w:eastAsiaTheme="minorEastAsia"/>
          <w:color w:val="000000"/>
          <w:sz w:val="24"/>
          <w:u w:val="single"/>
        </w:rPr>
        <w:t xml:space="preserve"> </w:t>
      </w:r>
      <w:r>
        <w:rPr>
          <w:rFonts w:hint="eastAsia" w:asciiTheme="minorEastAsia" w:hAnsiTheme="minorEastAsia" w:eastAsiaTheme="minorEastAsia"/>
          <w:color w:val="000000"/>
          <w:sz w:val="24"/>
          <w:u w:val="single"/>
        </w:rPr>
        <w:t>项目经理部</w:t>
      </w:r>
      <w:r>
        <w:rPr>
          <w:rFonts w:asciiTheme="minorEastAsia" w:hAnsiTheme="minorEastAsia" w:eastAsiaTheme="minorEastAsia"/>
          <w:color w:val="000000"/>
          <w:sz w:val="24"/>
        </w:rPr>
        <w:t>建设资金已落实，项目业主为</w:t>
      </w:r>
      <w:r>
        <w:rPr>
          <w:rFonts w:hint="eastAsia" w:asciiTheme="minorEastAsia" w:hAnsiTheme="minorEastAsia" w:eastAsiaTheme="minorEastAsia"/>
          <w:color w:val="000000"/>
          <w:sz w:val="24"/>
          <w:u w:val="single"/>
        </w:rPr>
        <w:t>中车置业（太原）有限公司</w:t>
      </w:r>
      <w:r>
        <w:rPr>
          <w:rFonts w:asciiTheme="minorEastAsia" w:hAnsiTheme="minorEastAsia" w:eastAsiaTheme="minorEastAsia"/>
          <w:color w:val="000000"/>
          <w:sz w:val="24"/>
        </w:rPr>
        <w:t>，</w:t>
      </w:r>
      <w:r>
        <w:rPr>
          <w:rFonts w:hint="eastAsia" w:asciiTheme="minorEastAsia" w:hAnsiTheme="minorEastAsia" w:eastAsiaTheme="minorEastAsia"/>
          <w:color w:val="000000"/>
          <w:sz w:val="24"/>
        </w:rPr>
        <w:t>招标人为</w:t>
      </w:r>
      <w:r>
        <w:rPr>
          <w:rFonts w:hint="eastAsia" w:asciiTheme="minorEastAsia" w:hAnsiTheme="minorEastAsia" w:eastAsiaTheme="minorEastAsia"/>
          <w:color w:val="000000"/>
          <w:sz w:val="24"/>
          <w:u w:val="single"/>
        </w:rPr>
        <w:t>中铁城建集团第一工程有限公司中车·国际广场三期项目施工总承包工程(一标段)</w:t>
      </w:r>
      <w:r>
        <w:rPr>
          <w:rFonts w:hint="eastAsia" w:asciiTheme="minorEastAsia" w:hAnsiTheme="minorEastAsia" w:eastAsiaTheme="minorEastAsia"/>
          <w:color w:val="000000"/>
          <w:sz w:val="24"/>
        </w:rPr>
        <w:t>。本项目所需的 电缆 已具备招标条件，现进</w:t>
      </w:r>
      <w:r>
        <w:rPr>
          <w:rFonts w:asciiTheme="minorEastAsia" w:hAnsiTheme="minorEastAsia" w:eastAsiaTheme="minorEastAsia"/>
          <w:color w:val="000000"/>
          <w:sz w:val="24"/>
        </w:rPr>
        <w:t>行公开招标。</w:t>
      </w:r>
    </w:p>
    <w:p>
      <w:pPr>
        <w:spacing w:afterLines="50"/>
        <w:rPr>
          <w:rFonts w:asciiTheme="minorEastAsia" w:hAnsiTheme="minorEastAsia" w:eastAsiaTheme="minorEastAsia"/>
          <w:b/>
          <w:bCs/>
          <w:sz w:val="24"/>
        </w:rPr>
      </w:pPr>
      <w:bookmarkStart w:id="3" w:name="_Toc440491911"/>
      <w:bookmarkStart w:id="4" w:name="_Toc3175"/>
      <w:r>
        <w:rPr>
          <w:rFonts w:hint="eastAsia" w:asciiTheme="minorEastAsia" w:hAnsiTheme="minorEastAsia" w:eastAsiaTheme="minorEastAsia"/>
          <w:b/>
          <w:bCs/>
          <w:sz w:val="24"/>
        </w:rPr>
        <w:t>2．招标依据</w:t>
      </w:r>
      <w:bookmarkEnd w:id="3"/>
      <w:bookmarkEnd w:id="4"/>
    </w:p>
    <w:p>
      <w:pPr>
        <w:pStyle w:val="74"/>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2.1 《中华人民共和国招标投标法》</w:t>
      </w:r>
    </w:p>
    <w:p>
      <w:pPr>
        <w:pStyle w:val="74"/>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2.2 《中华人民共和国招标投标法实施条例》（国务院第613号令）</w:t>
      </w:r>
    </w:p>
    <w:p>
      <w:pPr>
        <w:pStyle w:val="74"/>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2.3 《工程建设项目货物招标投标办法》（七部委27号令）</w:t>
      </w:r>
    </w:p>
    <w:p>
      <w:pPr>
        <w:pStyle w:val="74"/>
        <w:snapToGrid w:val="0"/>
        <w:spacing w:line="360" w:lineRule="auto"/>
        <w:ind w:firstLine="480" w:firstLineChars="200"/>
        <w:rPr>
          <w:rFonts w:asciiTheme="minorEastAsia" w:hAnsiTheme="minorEastAsia" w:eastAsiaTheme="minorEastAsia"/>
          <w:color w:val="000000"/>
          <w:kern w:val="2"/>
        </w:rPr>
      </w:pPr>
      <w:r>
        <w:rPr>
          <w:rFonts w:hint="eastAsia" w:asciiTheme="minorEastAsia" w:hAnsiTheme="minorEastAsia" w:eastAsiaTheme="minorEastAsia"/>
          <w:color w:val="000000"/>
          <w:kern w:val="2"/>
        </w:rPr>
        <w:t>2.4 《评标委员会和评标方法暂行规定》（七部委第12号令）</w:t>
      </w:r>
    </w:p>
    <w:p>
      <w:pPr>
        <w:spacing w:afterLines="50"/>
        <w:rPr>
          <w:rFonts w:asciiTheme="minorEastAsia" w:hAnsiTheme="minorEastAsia" w:eastAsiaTheme="minorEastAsia"/>
          <w:b/>
          <w:bCs/>
          <w:sz w:val="24"/>
        </w:rPr>
      </w:pPr>
      <w:bookmarkStart w:id="5" w:name="_Toc28492"/>
      <w:bookmarkStart w:id="6" w:name="_Toc440491912"/>
      <w:bookmarkStart w:id="7" w:name="_Toc306891567"/>
      <w:bookmarkStart w:id="8" w:name="_Toc301949702"/>
      <w:bookmarkStart w:id="9" w:name="_Toc300988277"/>
      <w:r>
        <w:rPr>
          <w:rFonts w:hint="eastAsia" w:asciiTheme="minorEastAsia" w:hAnsiTheme="minorEastAsia" w:eastAsiaTheme="minorEastAsia"/>
          <w:b/>
          <w:bCs/>
          <w:sz w:val="24"/>
        </w:rPr>
        <w:t>3．项目概况与招标内容</w:t>
      </w:r>
      <w:bookmarkEnd w:id="5"/>
      <w:bookmarkEnd w:id="6"/>
    </w:p>
    <w:bookmarkEnd w:id="7"/>
    <w:bookmarkEnd w:id="8"/>
    <w:bookmarkEnd w:id="9"/>
    <w:p>
      <w:pPr>
        <w:spacing w:line="360" w:lineRule="auto"/>
        <w:ind w:firstLine="465"/>
        <w:rPr>
          <w:rFonts w:hint="eastAsia" w:asciiTheme="minorEastAsia" w:hAnsiTheme="minorEastAsia" w:eastAsiaTheme="minorEastAsia"/>
          <w:color w:val="000000"/>
          <w:sz w:val="24"/>
        </w:rPr>
      </w:pPr>
      <w:r>
        <w:rPr>
          <w:rFonts w:hint="eastAsia" w:asciiTheme="minorEastAsia" w:hAnsiTheme="minorEastAsia" w:eastAsiaTheme="minorEastAsia"/>
          <w:color w:val="000000"/>
          <w:sz w:val="24"/>
        </w:rPr>
        <w:t>3.1 项目概况：</w:t>
      </w:r>
    </w:p>
    <w:p>
      <w:pPr>
        <w:spacing w:line="360" w:lineRule="auto"/>
        <w:ind w:firstLine="465"/>
        <w:rPr>
          <w:rFonts w:asciiTheme="minorEastAsia" w:hAnsiTheme="minorEastAsia" w:eastAsiaTheme="minorEastAsia"/>
          <w:color w:val="000000"/>
          <w:sz w:val="24"/>
        </w:rPr>
      </w:pPr>
      <w:r>
        <w:rPr>
          <w:rFonts w:hint="eastAsia" w:asciiTheme="minorEastAsia" w:hAnsiTheme="minorEastAsia" w:eastAsiaTheme="minorEastAsia"/>
          <w:color w:val="000000"/>
          <w:sz w:val="24"/>
        </w:rPr>
        <w:t>3.2 招标内容：详见招标公告附表1。</w:t>
      </w:r>
    </w:p>
    <w:p>
      <w:pPr>
        <w:spacing w:line="360" w:lineRule="auto"/>
        <w:ind w:firstLine="465"/>
        <w:rPr>
          <w:rFonts w:asciiTheme="minorEastAsia" w:hAnsiTheme="minorEastAsia" w:eastAsiaTheme="minorEastAsia"/>
          <w:color w:val="000000"/>
          <w:sz w:val="24"/>
        </w:rPr>
      </w:pPr>
      <w:r>
        <w:rPr>
          <w:rFonts w:hint="eastAsia" w:asciiTheme="minorEastAsia" w:hAnsiTheme="minorEastAsia" w:eastAsiaTheme="minorEastAsia"/>
          <w:color w:val="000000"/>
          <w:sz w:val="24"/>
        </w:rPr>
        <w:t>3.3 招标方式：采用公开招标方式。</w:t>
      </w:r>
      <w:bookmarkStart w:id="10" w:name="_Toc440491913"/>
    </w:p>
    <w:p>
      <w:pPr>
        <w:spacing w:afterLines="50"/>
        <w:rPr>
          <w:rFonts w:asciiTheme="minorEastAsia" w:hAnsiTheme="minorEastAsia" w:eastAsiaTheme="minorEastAsia"/>
          <w:b/>
          <w:bCs/>
          <w:sz w:val="24"/>
        </w:rPr>
      </w:pPr>
      <w:bookmarkStart w:id="11" w:name="_Toc15004"/>
      <w:r>
        <w:rPr>
          <w:rFonts w:hint="eastAsia" w:asciiTheme="minorEastAsia" w:hAnsiTheme="minorEastAsia" w:eastAsiaTheme="minorEastAsia"/>
          <w:b/>
          <w:bCs/>
          <w:sz w:val="24"/>
        </w:rPr>
        <w:t>4．投标人资格要求</w:t>
      </w:r>
      <w:bookmarkEnd w:id="10"/>
      <w:bookmarkEnd w:id="11"/>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.1 投标人</w:t>
      </w:r>
      <w:r>
        <w:rPr>
          <w:rFonts w:hint="eastAsia" w:asciiTheme="minorEastAsia" w:hAnsiTheme="minorEastAsia" w:eastAsiaTheme="minorEastAsia"/>
          <w:color w:val="000000"/>
          <w:sz w:val="24"/>
        </w:rPr>
        <w:t>具体</w:t>
      </w:r>
      <w:r>
        <w:rPr>
          <w:rFonts w:asciiTheme="minorEastAsia" w:hAnsiTheme="minorEastAsia" w:eastAsiaTheme="minorEastAsia"/>
          <w:color w:val="000000"/>
          <w:sz w:val="24"/>
        </w:rPr>
        <w:t>资格要求详见</w:t>
      </w:r>
      <w:r>
        <w:rPr>
          <w:rFonts w:hint="eastAsia" w:asciiTheme="minorEastAsia" w:hAnsiTheme="minorEastAsia" w:eastAsiaTheme="minorEastAsia"/>
          <w:color w:val="000000"/>
          <w:sz w:val="24"/>
        </w:rPr>
        <w:t>招标公告</w:t>
      </w:r>
      <w:r>
        <w:rPr>
          <w:rFonts w:asciiTheme="minorEastAsia" w:hAnsiTheme="minorEastAsia" w:eastAsiaTheme="minorEastAsia"/>
          <w:color w:val="000000"/>
          <w:sz w:val="24"/>
        </w:rPr>
        <w:t>附表1。</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w:t>
      </w:r>
      <w:r>
        <w:rPr>
          <w:rFonts w:asciiTheme="minorEastAsia" w:hAnsiTheme="minorEastAsia" w:eastAsiaTheme="minorEastAsia"/>
          <w:color w:val="000000"/>
          <w:sz w:val="24"/>
        </w:rPr>
        <w:t>.2</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本次招标一包一投，不接受联合体投标。</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4.3 法定代表人为同一个人，或母公司、全资子公司及其控股公司，不得在同一包件招标中同时投标。</w:t>
      </w:r>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4.4 投标人不得是相应工程标段承包人或者承担本项目的设计、监理单位的子公司及控股公司，或其它利益相关人。</w:t>
      </w:r>
    </w:p>
    <w:p>
      <w:pPr>
        <w:spacing w:line="360" w:lineRule="auto"/>
        <w:ind w:firstLine="480" w:firstLineChars="200"/>
        <w:rPr>
          <w:rFonts w:asciiTheme="minorEastAsia" w:hAnsiTheme="minorEastAsia" w:eastAsiaTheme="minorEastAsia"/>
          <w:b/>
          <w:bCs/>
          <w:color w:val="FF0000"/>
          <w:sz w:val="24"/>
        </w:rPr>
      </w:pPr>
      <w:r>
        <w:rPr>
          <w:rFonts w:hint="eastAsia" w:asciiTheme="minorEastAsia" w:hAnsiTheme="minorEastAsia" w:eastAsiaTheme="minorEastAsia"/>
          <w:color w:val="000000"/>
          <w:sz w:val="24"/>
        </w:rPr>
        <w:t>4.5 投标人未被列入</w:t>
      </w:r>
      <w:r>
        <w:rPr>
          <w:rFonts w:hint="eastAsia" w:asciiTheme="minorEastAsia" w:hAnsiTheme="minorEastAsia" w:eastAsiaTheme="minorEastAsia"/>
          <w:color w:val="000000"/>
        </w:rPr>
        <w:t>《中国铁建选择合作方风险警示名录》或《中铁城建集团第一工程有限公司不宜合作供应商名单》</w:t>
      </w:r>
      <w:r>
        <w:rPr>
          <w:rFonts w:hint="eastAsia" w:asciiTheme="minorEastAsia" w:hAnsiTheme="minorEastAsia" w:eastAsiaTheme="minorEastAsia"/>
          <w:color w:val="000000"/>
          <w:sz w:val="24"/>
        </w:rPr>
        <w:t>。</w:t>
      </w:r>
    </w:p>
    <w:p>
      <w:pPr>
        <w:spacing w:afterLines="50"/>
        <w:rPr>
          <w:rFonts w:asciiTheme="minorEastAsia" w:hAnsiTheme="minorEastAsia" w:eastAsiaTheme="minorEastAsia"/>
          <w:b/>
          <w:bCs/>
          <w:sz w:val="24"/>
        </w:rPr>
      </w:pPr>
      <w:bookmarkStart w:id="12" w:name="_Toc440491914"/>
      <w:bookmarkStart w:id="13" w:name="_Toc19169"/>
      <w:r>
        <w:rPr>
          <w:rFonts w:hint="eastAsia" w:asciiTheme="minorEastAsia" w:hAnsiTheme="minorEastAsia" w:eastAsiaTheme="minorEastAsia"/>
          <w:b/>
          <w:bCs/>
          <w:sz w:val="24"/>
        </w:rPr>
        <w:t>5．资格审查方法及评标方法</w:t>
      </w:r>
      <w:bookmarkEnd w:id="12"/>
      <w:bookmarkEnd w:id="13"/>
    </w:p>
    <w:p>
      <w:pPr>
        <w:spacing w:line="360" w:lineRule="auto"/>
        <w:ind w:firstLine="480" w:firstLineChars="200"/>
        <w:rPr>
          <w:rFonts w:asciiTheme="minorEastAsia" w:hAnsiTheme="minorEastAsia" w:eastAsiaTheme="minorEastAsia"/>
          <w:color w:val="000000"/>
          <w:sz w:val="24"/>
        </w:rPr>
      </w:pPr>
      <w:r>
        <w:rPr>
          <w:rFonts w:hint="eastAsia" w:asciiTheme="minorEastAsia" w:hAnsiTheme="minorEastAsia" w:eastAsiaTheme="minorEastAsia"/>
          <w:color w:val="000000"/>
          <w:sz w:val="24"/>
        </w:rPr>
        <w:t>5.1 本次投标人的资质审查采用资质后审的方式。</w:t>
      </w:r>
    </w:p>
    <w:p>
      <w:pPr>
        <w:spacing w:line="360" w:lineRule="auto"/>
        <w:ind w:firstLine="480" w:firstLineChars="200"/>
      </w:pPr>
      <w:r>
        <w:rPr>
          <w:rFonts w:hint="eastAsia" w:asciiTheme="minorEastAsia" w:hAnsiTheme="minorEastAsia" w:eastAsiaTheme="minorEastAsia"/>
          <w:color w:val="000000"/>
          <w:sz w:val="24"/>
        </w:rPr>
        <w:t>5.2 评标方法采用经评审的综合评标法。</w:t>
      </w:r>
    </w:p>
    <w:p>
      <w:pPr>
        <w:widowControl/>
        <w:spacing w:line="360" w:lineRule="auto"/>
        <w:ind w:firstLine="480"/>
        <w:rPr>
          <w:rFonts w:asciiTheme="minorEastAsia" w:hAnsiTheme="minorEastAsia" w:eastAsiaTheme="minorEastAsia"/>
          <w:color w:val="000000"/>
          <w:sz w:val="24"/>
          <w:highlight w:val="yellow"/>
        </w:rPr>
      </w:pPr>
      <w:bookmarkStart w:id="14" w:name="_Toc6367"/>
      <w:bookmarkStart w:id="15" w:name="_Toc440491915"/>
      <w:r>
        <w:rPr>
          <w:rFonts w:hint="eastAsia" w:asciiTheme="minorEastAsia" w:hAnsiTheme="minorEastAsia" w:eastAsiaTheme="minorEastAsia"/>
          <w:b/>
          <w:bCs/>
          <w:sz w:val="24"/>
        </w:rPr>
        <w:t>6．</w:t>
      </w:r>
      <w:r>
        <w:rPr>
          <w:rFonts w:hint="eastAsia" w:asciiTheme="minorEastAsia" w:hAnsiTheme="minorEastAsia" w:eastAsiaTheme="minorEastAsia"/>
          <w:sz w:val="24"/>
          <w:highlight w:val="yellow"/>
        </w:rPr>
        <w:t>招标文</w:t>
      </w:r>
      <w:bookmarkEnd w:id="14"/>
      <w:bookmarkEnd w:id="15"/>
      <w:r>
        <w:rPr>
          <w:rFonts w:hint="eastAsia" w:asciiTheme="minorEastAsia" w:hAnsiTheme="minorEastAsia" w:eastAsiaTheme="minorEastAsia"/>
          <w:sz w:val="24"/>
          <w:highlight w:val="yellow"/>
        </w:rPr>
        <w:t xml:space="preserve">凡有意参加投标者，请于 2019 年 </w:t>
      </w:r>
      <w:r>
        <w:rPr>
          <w:rFonts w:hint="eastAsia" w:asciiTheme="minorEastAsia" w:hAnsiTheme="minorEastAsia" w:eastAsiaTheme="minorEastAsia"/>
          <w:sz w:val="24"/>
          <w:highlight w:val="yellow"/>
          <w:lang w:val="en-US" w:eastAsia="zh-CN"/>
        </w:rPr>
        <w:t>9</w:t>
      </w:r>
      <w:r>
        <w:rPr>
          <w:rFonts w:hint="eastAsia" w:asciiTheme="minorEastAsia" w:hAnsiTheme="minorEastAsia" w:eastAsiaTheme="minorEastAsia"/>
          <w:sz w:val="24"/>
          <w:highlight w:val="yellow"/>
        </w:rPr>
        <w:t xml:space="preserve"> 月 </w:t>
      </w:r>
      <w:r>
        <w:rPr>
          <w:rFonts w:hint="eastAsia" w:asciiTheme="minorEastAsia" w:hAnsiTheme="minorEastAsia" w:eastAsiaTheme="minorEastAsia"/>
          <w:sz w:val="24"/>
          <w:highlight w:val="yellow"/>
          <w:lang w:val="en-US" w:eastAsia="zh-CN"/>
        </w:rPr>
        <w:t>10</w:t>
      </w:r>
      <w:r>
        <w:rPr>
          <w:rFonts w:hint="eastAsia" w:asciiTheme="minorEastAsia" w:hAnsiTheme="minorEastAsia" w:eastAsiaTheme="minorEastAsia"/>
          <w:sz w:val="24"/>
          <w:highlight w:val="yellow"/>
        </w:rPr>
        <w:t xml:space="preserve"> 日至 2019 年 </w:t>
      </w:r>
      <w:r>
        <w:rPr>
          <w:rFonts w:hint="eastAsia" w:asciiTheme="minorEastAsia" w:hAnsiTheme="minorEastAsia" w:eastAsiaTheme="minorEastAsia"/>
          <w:sz w:val="24"/>
          <w:highlight w:val="yellow"/>
          <w:lang w:val="en-US" w:eastAsia="zh-CN"/>
        </w:rPr>
        <w:t>9</w:t>
      </w:r>
      <w:r>
        <w:rPr>
          <w:rFonts w:hint="eastAsia" w:asciiTheme="minorEastAsia" w:hAnsiTheme="minorEastAsia" w:eastAsiaTheme="minorEastAsia"/>
          <w:sz w:val="24"/>
          <w:highlight w:val="yellow"/>
        </w:rPr>
        <w:t xml:space="preserve"> 月 </w:t>
      </w:r>
      <w:r>
        <w:rPr>
          <w:rFonts w:hint="eastAsia" w:asciiTheme="minorEastAsia" w:hAnsiTheme="minorEastAsia" w:eastAsiaTheme="minorEastAsia"/>
          <w:sz w:val="24"/>
          <w:highlight w:val="yellow"/>
          <w:lang w:val="en-US" w:eastAsia="zh-CN"/>
        </w:rPr>
        <w:t>17</w:t>
      </w:r>
      <w:r>
        <w:rPr>
          <w:rFonts w:hint="eastAsia" w:asciiTheme="minorEastAsia" w:hAnsiTheme="minorEastAsia" w:eastAsiaTheme="minorEastAsia"/>
          <w:sz w:val="24"/>
          <w:highlight w:val="yellow"/>
        </w:rPr>
        <w:t xml:space="preserve">  日，每日 8:00 至 17:00 （北京时间，下同），在 太原市解放北路十号太原市机车车辆厂旧厂区内，中铁城建集团第一工程有限公司中车国际广场</w:t>
      </w:r>
      <w:r>
        <w:rPr>
          <w:rFonts w:hint="eastAsia" w:asciiTheme="minorEastAsia" w:hAnsiTheme="minorEastAsia" w:eastAsiaTheme="minorEastAsia"/>
          <w:sz w:val="24"/>
          <w:highlight w:val="yellow"/>
          <w:lang w:eastAsia="zh-CN"/>
        </w:rPr>
        <w:t>三</w:t>
      </w:r>
      <w:r>
        <w:rPr>
          <w:rFonts w:hint="eastAsia" w:asciiTheme="minorEastAsia" w:hAnsiTheme="minorEastAsia" w:eastAsiaTheme="minorEastAsia"/>
          <w:sz w:val="24"/>
          <w:highlight w:val="yellow"/>
        </w:rPr>
        <w:t>期项目经理部设备物资部办公室持以下资料（需加盖投标单位公章）购买招标文件。</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①投标申请表（一式二份，见附表2）；</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②法定代表人资格证明书或法人授权委托书、受委托人身份证、法人身份证复印件；</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③营业执照（未三证合一还将提供税务登记证、组织机构代码证）复印件。</w:t>
      </w:r>
    </w:p>
    <w:p>
      <w:pPr>
        <w:widowControl/>
        <w:spacing w:line="360" w:lineRule="auto"/>
        <w:ind w:firstLine="485"/>
        <w:jc w:val="left"/>
        <w:textAlignment w:val="baseline"/>
        <w:rPr>
          <w:rFonts w:asciiTheme="minorEastAsia" w:hAnsiTheme="minorEastAsia" w:eastAsiaTheme="minorEastAsia"/>
          <w:color w:val="000000"/>
          <w:sz w:val="24"/>
        </w:rPr>
      </w:pPr>
      <w:r>
        <w:rPr>
          <w:rFonts w:hint="eastAsia" w:asciiTheme="minorEastAsia" w:hAnsiTheme="minorEastAsia" w:eastAsiaTheme="minorEastAsia"/>
          <w:color w:val="000000"/>
          <w:sz w:val="24"/>
        </w:rPr>
        <w:t>6.2 招标文件售价详见招标公告附表1，售后不退。</w:t>
      </w:r>
    </w:p>
    <w:p>
      <w:pPr>
        <w:spacing w:afterLines="50"/>
        <w:rPr>
          <w:rFonts w:asciiTheme="minorEastAsia" w:hAnsiTheme="minorEastAsia" w:eastAsiaTheme="minorEastAsia"/>
          <w:b/>
          <w:bCs/>
          <w:sz w:val="24"/>
        </w:rPr>
      </w:pPr>
      <w:bookmarkStart w:id="16" w:name="_Toc29235"/>
      <w:bookmarkStart w:id="17" w:name="_Toc440491916"/>
      <w:bookmarkStart w:id="18" w:name="_Toc343497886"/>
      <w:bookmarkStart w:id="19" w:name="_Toc321997826"/>
      <w:r>
        <w:rPr>
          <w:rFonts w:hint="eastAsia" w:asciiTheme="minorEastAsia" w:hAnsiTheme="minorEastAsia" w:eastAsiaTheme="minorEastAsia"/>
          <w:b/>
          <w:bCs/>
          <w:sz w:val="24"/>
        </w:rPr>
        <w:t>7．投标文件的递交及开标</w:t>
      </w:r>
      <w:bookmarkEnd w:id="16"/>
      <w:bookmarkEnd w:id="17"/>
    </w:p>
    <w:bookmarkEnd w:id="18"/>
    <w:p>
      <w:pPr>
        <w:widowControl/>
        <w:spacing w:line="360" w:lineRule="auto"/>
        <w:ind w:firstLine="480"/>
        <w:jc w:val="left"/>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highlight w:val="yellow"/>
        </w:rPr>
        <w:t>7.1 递交时间：2019年</w:t>
      </w:r>
      <w:r>
        <w:rPr>
          <w:rFonts w:hint="eastAsia" w:asciiTheme="minorEastAsia" w:hAnsiTheme="minorEastAsia" w:eastAsiaTheme="minorEastAsia"/>
          <w:color w:val="000000"/>
          <w:sz w:val="24"/>
          <w:highlight w:val="yellow"/>
          <w:lang w:val="en-US" w:eastAsia="zh-CN"/>
        </w:rPr>
        <w:t>9</w:t>
      </w:r>
      <w:r>
        <w:rPr>
          <w:rFonts w:hint="eastAsia" w:asciiTheme="minorEastAsia" w:hAnsiTheme="minorEastAsia" w:eastAsiaTheme="minorEastAsia"/>
          <w:color w:val="000000"/>
          <w:sz w:val="24"/>
          <w:highlight w:val="yellow"/>
        </w:rPr>
        <w:t>月</w:t>
      </w:r>
      <w:r>
        <w:rPr>
          <w:rFonts w:hint="eastAsia" w:asciiTheme="minorEastAsia" w:hAnsiTheme="minorEastAsia" w:eastAsiaTheme="minorEastAsia"/>
          <w:color w:val="000000"/>
          <w:sz w:val="24"/>
          <w:highlight w:val="yellow"/>
          <w:lang w:val="en-US" w:eastAsia="zh-CN"/>
        </w:rPr>
        <w:t>20</w:t>
      </w:r>
      <w:r>
        <w:rPr>
          <w:rFonts w:hint="eastAsia" w:asciiTheme="minorEastAsia" w:hAnsiTheme="minorEastAsia" w:eastAsiaTheme="minorEastAsia"/>
          <w:color w:val="000000"/>
          <w:sz w:val="24"/>
          <w:highlight w:val="yellow"/>
        </w:rPr>
        <w:t>日</w:t>
      </w:r>
      <w:r>
        <w:rPr>
          <w:rFonts w:hint="eastAsia" w:asciiTheme="minorEastAsia" w:hAnsiTheme="minorEastAsia" w:eastAsiaTheme="minorEastAsia"/>
          <w:color w:val="000000"/>
          <w:sz w:val="24"/>
          <w:highlight w:val="yellow"/>
          <w:lang w:val="en-US" w:eastAsia="zh-CN"/>
        </w:rPr>
        <w:t>8</w:t>
      </w:r>
      <w:r>
        <w:rPr>
          <w:rFonts w:hint="eastAsia" w:asciiTheme="minorEastAsia" w:hAnsiTheme="minorEastAsia" w:eastAsiaTheme="minorEastAsia"/>
          <w:color w:val="000000"/>
          <w:sz w:val="24"/>
          <w:highlight w:val="yellow"/>
        </w:rPr>
        <w:t>:00时——2019年</w:t>
      </w:r>
      <w:r>
        <w:rPr>
          <w:rFonts w:hint="eastAsia" w:asciiTheme="minorEastAsia" w:hAnsiTheme="minorEastAsia" w:eastAsiaTheme="minorEastAsia"/>
          <w:color w:val="000000"/>
          <w:sz w:val="24"/>
          <w:highlight w:val="yellow"/>
          <w:lang w:val="en-US" w:eastAsia="zh-CN"/>
        </w:rPr>
        <w:t>9</w:t>
      </w:r>
      <w:r>
        <w:rPr>
          <w:rFonts w:hint="eastAsia" w:asciiTheme="minorEastAsia" w:hAnsiTheme="minorEastAsia" w:eastAsiaTheme="minorEastAsia"/>
          <w:color w:val="000000"/>
          <w:sz w:val="24"/>
          <w:highlight w:val="yellow"/>
        </w:rPr>
        <w:t>月</w:t>
      </w:r>
      <w:r>
        <w:rPr>
          <w:rFonts w:hint="eastAsia" w:asciiTheme="minorEastAsia" w:hAnsiTheme="minorEastAsia" w:eastAsiaTheme="minorEastAsia"/>
          <w:color w:val="000000"/>
          <w:sz w:val="24"/>
          <w:highlight w:val="yellow"/>
          <w:lang w:val="en-US" w:eastAsia="zh-CN"/>
        </w:rPr>
        <w:t>20</w:t>
      </w:r>
      <w:r>
        <w:rPr>
          <w:rFonts w:hint="eastAsia" w:asciiTheme="minorEastAsia" w:hAnsiTheme="minorEastAsia" w:eastAsiaTheme="minorEastAsia"/>
          <w:color w:val="000000"/>
          <w:sz w:val="24"/>
          <w:highlight w:val="yellow"/>
        </w:rPr>
        <w:t>日1</w:t>
      </w:r>
      <w:r>
        <w:rPr>
          <w:rFonts w:hint="eastAsia" w:asciiTheme="minorEastAsia" w:hAnsiTheme="minorEastAsia" w:eastAsiaTheme="minorEastAsia"/>
          <w:color w:val="000000"/>
          <w:sz w:val="24"/>
          <w:highlight w:val="yellow"/>
          <w:lang w:val="en-US" w:eastAsia="zh-CN"/>
        </w:rPr>
        <w:t>0</w:t>
      </w:r>
      <w:r>
        <w:rPr>
          <w:rFonts w:hint="eastAsia" w:asciiTheme="minorEastAsia" w:hAnsiTheme="minorEastAsia" w:eastAsiaTheme="minorEastAsia"/>
          <w:color w:val="000000"/>
          <w:sz w:val="24"/>
          <w:highlight w:val="yellow"/>
        </w:rPr>
        <w:t>:00时。</w:t>
      </w:r>
    </w:p>
    <w:p>
      <w:pPr>
        <w:widowControl/>
        <w:spacing w:line="360" w:lineRule="auto"/>
        <w:ind w:firstLine="480"/>
        <w:jc w:val="left"/>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highlight w:val="yellow"/>
        </w:rPr>
        <w:t>7.2 递交地点：中车国际广场二期项目经理部设备物资部办公室。</w:t>
      </w:r>
    </w:p>
    <w:p>
      <w:pPr>
        <w:widowControl/>
        <w:spacing w:line="360" w:lineRule="auto"/>
        <w:ind w:firstLine="480"/>
        <w:jc w:val="left"/>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highlight w:val="yellow"/>
        </w:rPr>
        <w:t xml:space="preserve">7.3 投标截止时间：2019 年 </w:t>
      </w:r>
      <w:r>
        <w:rPr>
          <w:rFonts w:hint="eastAsia" w:asciiTheme="minorEastAsia" w:hAnsiTheme="minorEastAsia" w:eastAsiaTheme="minorEastAsia"/>
          <w:color w:val="000000"/>
          <w:sz w:val="24"/>
          <w:highlight w:val="yellow"/>
          <w:lang w:val="en-US" w:eastAsia="zh-CN"/>
        </w:rPr>
        <w:t>9</w:t>
      </w:r>
      <w:r>
        <w:rPr>
          <w:rFonts w:hint="eastAsia" w:asciiTheme="minorEastAsia" w:hAnsiTheme="minorEastAsia" w:eastAsiaTheme="minorEastAsia"/>
          <w:color w:val="000000"/>
          <w:sz w:val="24"/>
          <w:highlight w:val="yellow"/>
        </w:rPr>
        <w:t xml:space="preserve">月 </w:t>
      </w:r>
      <w:r>
        <w:rPr>
          <w:rFonts w:hint="eastAsia" w:asciiTheme="minorEastAsia" w:hAnsiTheme="minorEastAsia" w:eastAsiaTheme="minorEastAsia"/>
          <w:color w:val="000000"/>
          <w:sz w:val="24"/>
          <w:highlight w:val="yellow"/>
          <w:lang w:val="en-US" w:eastAsia="zh-CN"/>
        </w:rPr>
        <w:t>20</w:t>
      </w:r>
      <w:r>
        <w:rPr>
          <w:rFonts w:hint="eastAsia" w:asciiTheme="minorEastAsia" w:hAnsiTheme="minorEastAsia" w:eastAsiaTheme="minorEastAsia"/>
          <w:color w:val="000000"/>
          <w:sz w:val="24"/>
          <w:highlight w:val="yellow"/>
        </w:rPr>
        <w:t xml:space="preserve"> 日 </w:t>
      </w:r>
      <w:r>
        <w:rPr>
          <w:rFonts w:hint="eastAsia" w:asciiTheme="minorEastAsia" w:hAnsiTheme="minorEastAsia" w:eastAsiaTheme="minorEastAsia"/>
          <w:color w:val="000000"/>
          <w:sz w:val="24"/>
          <w:highlight w:val="yellow"/>
          <w:lang w:val="en-US" w:eastAsia="zh-CN"/>
        </w:rPr>
        <w:t>10</w:t>
      </w:r>
      <w:r>
        <w:rPr>
          <w:rFonts w:hint="eastAsia" w:asciiTheme="minorEastAsia" w:hAnsiTheme="minorEastAsia" w:eastAsiaTheme="minorEastAsia"/>
          <w:color w:val="000000"/>
          <w:sz w:val="24"/>
          <w:highlight w:val="yellow"/>
        </w:rPr>
        <w:t xml:space="preserve"> 时 00 分。</w:t>
      </w:r>
      <w:r>
        <w:rPr>
          <w:rFonts w:asciiTheme="minorEastAsia" w:hAnsiTheme="minorEastAsia" w:eastAsiaTheme="minorEastAsia"/>
          <w:color w:val="000000"/>
          <w:sz w:val="24"/>
          <w:highlight w:val="yellow"/>
        </w:rPr>
        <w:t>投标文件须于投标截止时间之前当面递交给招标人，逾期送达的或者未送达指定地点的投标文件将不予受理。</w:t>
      </w:r>
    </w:p>
    <w:p>
      <w:pPr>
        <w:widowControl/>
        <w:spacing w:line="360" w:lineRule="auto"/>
        <w:ind w:firstLine="480"/>
        <w:jc w:val="left"/>
        <w:rPr>
          <w:rFonts w:asciiTheme="minorEastAsia" w:hAnsiTheme="minorEastAsia" w:eastAsiaTheme="minorEastAsia"/>
          <w:color w:val="000000"/>
          <w:sz w:val="24"/>
          <w:highlight w:val="yellow"/>
        </w:rPr>
      </w:pPr>
      <w:r>
        <w:rPr>
          <w:rFonts w:hint="eastAsia" w:asciiTheme="minorEastAsia" w:hAnsiTheme="minorEastAsia" w:eastAsiaTheme="minorEastAsia"/>
          <w:color w:val="000000"/>
          <w:sz w:val="24"/>
          <w:highlight w:val="yellow"/>
        </w:rPr>
        <w:t>7</w:t>
      </w:r>
      <w:r>
        <w:rPr>
          <w:rFonts w:asciiTheme="minorEastAsia" w:hAnsiTheme="minorEastAsia" w:eastAsiaTheme="minorEastAsia"/>
          <w:color w:val="000000"/>
          <w:sz w:val="24"/>
          <w:highlight w:val="yellow"/>
        </w:rPr>
        <w:t>.4开标时间：</w:t>
      </w:r>
      <w:r>
        <w:rPr>
          <w:rFonts w:hint="eastAsia" w:asciiTheme="minorEastAsia" w:hAnsiTheme="minorEastAsia" w:eastAsiaTheme="minorEastAsia"/>
          <w:color w:val="000000"/>
          <w:sz w:val="24"/>
          <w:highlight w:val="yellow"/>
        </w:rPr>
        <w:t>同投标截止时间</w:t>
      </w:r>
      <w:r>
        <w:rPr>
          <w:rFonts w:asciiTheme="minorEastAsia" w:hAnsiTheme="minorEastAsia" w:eastAsiaTheme="minorEastAsia"/>
          <w:color w:val="000000"/>
          <w:sz w:val="24"/>
          <w:highlight w:val="yellow"/>
        </w:rPr>
        <w:t>。</w:t>
      </w:r>
    </w:p>
    <w:p>
      <w:pPr>
        <w:widowControl/>
        <w:spacing w:line="360" w:lineRule="auto"/>
        <w:ind w:firstLine="48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highlight w:val="yellow"/>
        </w:rPr>
        <w:t>7</w:t>
      </w:r>
      <w:r>
        <w:rPr>
          <w:rFonts w:asciiTheme="minorEastAsia" w:hAnsiTheme="minorEastAsia" w:eastAsiaTheme="minorEastAsia"/>
          <w:color w:val="000000"/>
          <w:sz w:val="24"/>
          <w:highlight w:val="yellow"/>
        </w:rPr>
        <w:t>.5开标地点：</w:t>
      </w:r>
      <w:r>
        <w:rPr>
          <w:rFonts w:hint="eastAsia" w:asciiTheme="minorEastAsia" w:hAnsiTheme="minorEastAsia" w:eastAsiaTheme="minorEastAsia"/>
          <w:color w:val="000000"/>
          <w:sz w:val="24"/>
          <w:highlight w:val="yellow"/>
        </w:rPr>
        <w:t>同投标文件递交地点</w:t>
      </w:r>
      <w:r>
        <w:rPr>
          <w:rFonts w:asciiTheme="minorEastAsia" w:hAnsiTheme="minorEastAsia" w:eastAsiaTheme="minorEastAsia"/>
          <w:color w:val="000000"/>
          <w:sz w:val="24"/>
          <w:highlight w:val="yellow"/>
        </w:rPr>
        <w:t>。</w:t>
      </w:r>
    </w:p>
    <w:p>
      <w:pPr>
        <w:spacing w:afterLines="50"/>
        <w:rPr>
          <w:rFonts w:asciiTheme="minorEastAsia" w:hAnsiTheme="minorEastAsia" w:eastAsiaTheme="minorEastAsia"/>
          <w:b/>
          <w:bCs/>
          <w:sz w:val="24"/>
        </w:rPr>
      </w:pPr>
      <w:bookmarkStart w:id="20" w:name="_Toc440491917"/>
      <w:bookmarkStart w:id="21" w:name="_Toc7491"/>
      <w:r>
        <w:rPr>
          <w:rFonts w:hint="eastAsia" w:asciiTheme="minorEastAsia" w:hAnsiTheme="minorEastAsia" w:eastAsiaTheme="minorEastAsia"/>
          <w:b/>
          <w:bCs/>
          <w:sz w:val="24"/>
        </w:rPr>
        <w:t>8．发布公告的媒介</w:t>
      </w:r>
      <w:bookmarkEnd w:id="20"/>
      <w:bookmarkEnd w:id="21"/>
    </w:p>
    <w:bookmarkEnd w:id="19"/>
    <w:p>
      <w:pPr>
        <w:spacing w:afterLines="50"/>
        <w:ind w:firstLine="480" w:firstLineChars="200"/>
        <w:rPr>
          <w:rFonts w:asciiTheme="minorEastAsia" w:hAnsiTheme="minorEastAsia" w:eastAsiaTheme="minorEastAsia"/>
          <w:color w:val="000000"/>
          <w:sz w:val="24"/>
        </w:rPr>
      </w:pPr>
      <w:bookmarkStart w:id="22" w:name="_Toc440491919"/>
      <w:bookmarkStart w:id="23" w:name="_Toc13338"/>
      <w:r>
        <w:rPr>
          <w:rFonts w:hint="eastAsia" w:asciiTheme="minorEastAsia" w:hAnsiTheme="minorEastAsia" w:eastAsiaTheme="minorEastAsia"/>
          <w:color w:val="000000"/>
          <w:sz w:val="24"/>
        </w:rPr>
        <w:t>本次招标公告在中国采购与招标网（http://www.chinabidding.com.cn/）与铁建商城（https://www.crccmall.com/）同时公开发布。</w:t>
      </w:r>
    </w:p>
    <w:p>
      <w:pPr>
        <w:spacing w:afterLines="50"/>
        <w:rPr>
          <w:rFonts w:asciiTheme="minorEastAsia" w:hAnsiTheme="minorEastAsia" w:eastAsiaTheme="minorEastAsia"/>
          <w:b/>
          <w:bCs/>
          <w:sz w:val="24"/>
        </w:rPr>
      </w:pPr>
      <w:r>
        <w:rPr>
          <w:rFonts w:hint="eastAsia" w:asciiTheme="minorEastAsia" w:hAnsiTheme="minorEastAsia" w:eastAsiaTheme="minorEastAsia"/>
          <w:b/>
          <w:bCs/>
          <w:sz w:val="24"/>
        </w:rPr>
        <w:t>9．招标人信息及联系方式</w:t>
      </w:r>
      <w:bookmarkEnd w:id="22"/>
      <w:bookmarkEnd w:id="23"/>
    </w:p>
    <w:bookmarkEnd w:id="0"/>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招标人：</w:t>
      </w:r>
      <w:r>
        <w:rPr>
          <w:rFonts w:hint="eastAsia" w:asciiTheme="minorEastAsia" w:hAnsiTheme="minorEastAsia" w:eastAsiaTheme="minorEastAsia"/>
          <w:color w:val="000000"/>
          <w:sz w:val="24"/>
        </w:rPr>
        <w:t>中铁城建集团第一工程有限公司中车国际广场二期项目经理部</w:t>
      </w:r>
      <w:r>
        <w:rPr>
          <w:rFonts w:hint="eastAsia" w:asciiTheme="minorEastAsia" w:hAnsiTheme="minorEastAsia" w:eastAsiaTheme="minorEastAsia"/>
          <w:color w:val="000000"/>
          <w:sz w:val="24"/>
          <w:u w:val="single"/>
        </w:rPr>
        <w:t xml:space="preserve">                                 </w:t>
      </w:r>
    </w:p>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地</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址：</w:t>
      </w:r>
      <w:r>
        <w:rPr>
          <w:rFonts w:hint="eastAsia" w:asciiTheme="minorEastAsia" w:hAnsiTheme="minorEastAsia" w:eastAsiaTheme="minorEastAsia"/>
          <w:color w:val="000000"/>
          <w:sz w:val="24"/>
        </w:rPr>
        <w:t xml:space="preserve">太原市解放北路十号太原市机车车辆厂旧厂区内 </w:t>
      </w:r>
      <w:r>
        <w:rPr>
          <w:rFonts w:hint="eastAsia" w:asciiTheme="minorEastAsia" w:hAnsiTheme="minorEastAsia" w:eastAsiaTheme="minorEastAsia"/>
          <w:color w:val="000000"/>
          <w:sz w:val="24"/>
          <w:u w:val="single"/>
        </w:rPr>
        <w:t xml:space="preserve">                               </w:t>
      </w:r>
    </w:p>
    <w:p>
      <w:pPr>
        <w:widowControl/>
        <w:spacing w:line="360" w:lineRule="auto"/>
        <w:ind w:firstLine="600"/>
        <w:jc w:val="left"/>
        <w:rPr>
          <w:rFonts w:asciiTheme="minorEastAsia" w:hAnsiTheme="minorEastAsia" w:eastAsiaTheme="minorEastAsia"/>
          <w:color w:val="000000"/>
          <w:sz w:val="24"/>
        </w:rPr>
      </w:pPr>
      <w:r>
        <w:rPr>
          <w:rFonts w:asciiTheme="minorEastAsia" w:hAnsiTheme="minorEastAsia" w:eastAsiaTheme="minorEastAsia"/>
          <w:color w:val="000000"/>
          <w:sz w:val="24"/>
        </w:rPr>
        <w:t>联系人：</w:t>
      </w:r>
      <w:r>
        <w:rPr>
          <w:rFonts w:hint="eastAsia" w:asciiTheme="minorEastAsia" w:hAnsiTheme="minorEastAsia" w:eastAsiaTheme="minorEastAsia"/>
          <w:color w:val="000000"/>
          <w:sz w:val="24"/>
        </w:rPr>
        <w:t xml:space="preserve">常先生 </w:t>
      </w:r>
      <w:r>
        <w:rPr>
          <w:rFonts w:hint="eastAsia" w:asciiTheme="minorEastAsia" w:hAnsiTheme="minorEastAsia" w:eastAsiaTheme="minorEastAsia"/>
          <w:color w:val="000000"/>
          <w:sz w:val="24"/>
          <w:u w:val="single"/>
        </w:rPr>
        <w:t xml:space="preserve">                              </w:t>
      </w:r>
    </w:p>
    <w:p>
      <w:pPr>
        <w:widowControl/>
        <w:spacing w:line="360" w:lineRule="auto"/>
        <w:ind w:firstLine="600"/>
        <w:jc w:val="left"/>
        <w:rPr>
          <w:rFonts w:asciiTheme="minorEastAsia" w:hAnsiTheme="minorEastAsia" w:eastAsiaTheme="minorEastAsia"/>
          <w:color w:val="000000"/>
          <w:sz w:val="24"/>
          <w:u w:val="single"/>
        </w:rPr>
      </w:pPr>
      <w:r>
        <w:rPr>
          <w:rFonts w:asciiTheme="minorEastAsia" w:hAnsiTheme="minorEastAsia" w:eastAsiaTheme="minorEastAsia"/>
          <w:color w:val="000000"/>
          <w:sz w:val="24"/>
        </w:rPr>
        <w:t>电</w:t>
      </w:r>
      <w:r>
        <w:rPr>
          <w:rFonts w:hint="eastAsia" w:asciiTheme="minorEastAsia" w:hAnsiTheme="minorEastAsia" w:eastAsiaTheme="minorEastAsia"/>
          <w:color w:val="000000"/>
          <w:sz w:val="24"/>
        </w:rPr>
        <w:t xml:space="preserve">  </w:t>
      </w:r>
      <w:r>
        <w:rPr>
          <w:rFonts w:asciiTheme="minorEastAsia" w:hAnsiTheme="minorEastAsia" w:eastAsiaTheme="minorEastAsia"/>
          <w:color w:val="000000"/>
          <w:sz w:val="24"/>
        </w:rPr>
        <w:t>话：</w:t>
      </w:r>
      <w:r>
        <w:rPr>
          <w:rFonts w:hint="eastAsia" w:asciiTheme="minorEastAsia" w:hAnsiTheme="minorEastAsia" w:eastAsiaTheme="minorEastAsia"/>
          <w:color w:val="000000"/>
          <w:sz w:val="24"/>
        </w:rPr>
        <w:t>18603411481</w:t>
      </w:r>
      <w:r>
        <w:rPr>
          <w:rFonts w:hint="eastAsia" w:asciiTheme="minorEastAsia" w:hAnsiTheme="minorEastAsia" w:eastAsiaTheme="minorEastAsia"/>
          <w:color w:val="000000"/>
          <w:sz w:val="24"/>
          <w:u w:val="single"/>
        </w:rPr>
        <w:t xml:space="preserve">                             </w:t>
      </w:r>
    </w:p>
    <w:p>
      <w:pPr>
        <w:widowControl/>
        <w:spacing w:line="360" w:lineRule="auto"/>
        <w:ind w:firstLine="6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监督电话：0351-</w:t>
      </w:r>
      <w:r>
        <w:rPr>
          <w:rFonts w:hint="eastAsia" w:asciiTheme="minorEastAsia" w:hAnsiTheme="minorEastAsia" w:eastAsiaTheme="minorEastAsia"/>
          <w:color w:val="000000"/>
          <w:sz w:val="24"/>
          <w:lang w:val="en-US" w:eastAsia="zh-CN"/>
        </w:rPr>
        <w:t>2654052</w:t>
      </w:r>
      <w:r>
        <w:rPr>
          <w:rFonts w:hint="eastAsia" w:asciiTheme="minorEastAsia" w:hAnsiTheme="minorEastAsia" w:eastAsiaTheme="minorEastAsia"/>
          <w:color w:val="000000"/>
          <w:sz w:val="24"/>
          <w:u w:val="single"/>
        </w:rPr>
        <w:t xml:space="preserve">                               </w:t>
      </w:r>
    </w:p>
    <w:p>
      <w:pPr>
        <w:widowControl/>
        <w:spacing w:line="360" w:lineRule="auto"/>
        <w:jc w:val="right"/>
        <w:rPr>
          <w:rFonts w:asciiTheme="minorEastAsia" w:hAnsiTheme="minorEastAsia" w:eastAsiaTheme="minorEastAsia"/>
          <w:color w:val="000000"/>
          <w:sz w:val="24"/>
        </w:rPr>
      </w:pPr>
      <w:r>
        <w:rPr>
          <w:rFonts w:hint="eastAsia" w:asciiTheme="minorEastAsia" w:hAnsiTheme="minorEastAsia" w:eastAsiaTheme="minorEastAsia"/>
          <w:color w:val="000000"/>
          <w:sz w:val="24"/>
          <w:u w:val="single"/>
        </w:rPr>
        <w:t xml:space="preserve"> 2019 年 </w:t>
      </w:r>
      <w:r>
        <w:rPr>
          <w:rFonts w:hint="eastAsia" w:asciiTheme="minorEastAsia" w:hAnsiTheme="minorEastAsia" w:eastAsiaTheme="minorEastAsia"/>
          <w:color w:val="000000"/>
          <w:sz w:val="24"/>
          <w:u w:val="single"/>
          <w:lang w:val="en-US" w:eastAsia="zh-CN"/>
        </w:rPr>
        <w:t>9</w:t>
      </w:r>
      <w:r>
        <w:rPr>
          <w:rFonts w:hint="eastAsia" w:asciiTheme="minorEastAsia" w:hAnsiTheme="minorEastAsia" w:eastAsiaTheme="minorEastAsia"/>
          <w:color w:val="000000"/>
          <w:sz w:val="24"/>
          <w:u w:val="single"/>
        </w:rPr>
        <w:t xml:space="preserve"> 月</w:t>
      </w:r>
      <w:r>
        <w:rPr>
          <w:rFonts w:hint="eastAsia" w:asciiTheme="minorEastAsia" w:hAnsiTheme="minorEastAsia" w:eastAsiaTheme="minorEastAsia"/>
          <w:color w:val="000000"/>
          <w:sz w:val="24"/>
          <w:u w:val="single"/>
          <w:lang w:val="en-US" w:eastAsia="zh-CN"/>
        </w:rPr>
        <w:t>10</w:t>
      </w:r>
      <w:r>
        <w:rPr>
          <w:rFonts w:hint="eastAsia" w:asciiTheme="minorEastAsia" w:hAnsiTheme="minorEastAsia" w:eastAsiaTheme="minorEastAsia"/>
          <w:color w:val="000000"/>
          <w:sz w:val="24"/>
          <w:u w:val="single"/>
        </w:rPr>
        <w:t xml:space="preserve"> 日</w:t>
      </w:r>
      <w:r>
        <w:rPr>
          <w:rFonts w:asciiTheme="minorEastAsia" w:hAnsiTheme="minorEastAsia" w:eastAsiaTheme="minorEastAsia"/>
          <w:color w:val="000000"/>
          <w:sz w:val="24"/>
        </w:rPr>
        <w:br w:type="page"/>
      </w:r>
    </w:p>
    <w:p>
      <w:pPr>
        <w:spacing w:afterLines="50"/>
        <w:rPr>
          <w:rFonts w:asciiTheme="minorEastAsia" w:hAnsiTheme="minorEastAsia" w:eastAsiaTheme="minorEastAsia"/>
          <w:b/>
          <w:bCs/>
          <w:sz w:val="24"/>
        </w:rPr>
      </w:pPr>
      <w:bookmarkStart w:id="24" w:name="_Toc387575514"/>
      <w:bookmarkStart w:id="25" w:name="_Toc440491920"/>
      <w:bookmarkStart w:id="26" w:name="_Toc12272"/>
      <w:r>
        <w:rPr>
          <w:rFonts w:hint="eastAsia" w:asciiTheme="minorEastAsia" w:hAnsiTheme="minorEastAsia" w:eastAsiaTheme="minorEastAsia"/>
          <w:b/>
          <w:bCs/>
          <w:sz w:val="24"/>
        </w:rPr>
        <w:t>附表</w:t>
      </w:r>
      <w:bookmarkEnd w:id="24"/>
      <w:r>
        <w:rPr>
          <w:rFonts w:hint="eastAsia" w:asciiTheme="minorEastAsia" w:hAnsiTheme="minorEastAsia" w:eastAsiaTheme="minorEastAsia"/>
          <w:b/>
          <w:bCs/>
          <w:sz w:val="24"/>
        </w:rPr>
        <w:t>1</w:t>
      </w:r>
      <w:bookmarkEnd w:id="25"/>
      <w:bookmarkEnd w:id="26"/>
    </w:p>
    <w:p>
      <w:pPr>
        <w:pStyle w:val="126"/>
        <w:widowControl/>
        <w:numPr>
          <w:ilvl w:val="0"/>
          <w:numId w:val="4"/>
        </w:numPr>
        <w:spacing w:after="240" w:line="300" w:lineRule="atLeast"/>
        <w:ind w:firstLineChars="0"/>
        <w:jc w:val="left"/>
        <w:rPr>
          <w:rFonts w:asciiTheme="minorEastAsia" w:hAnsiTheme="minorEastAsia" w:eastAsiaTheme="minorEastAsia"/>
          <w:b/>
          <w:color w:val="000000"/>
          <w:sz w:val="24"/>
        </w:rPr>
      </w:pPr>
      <w:r>
        <w:rPr>
          <w:rFonts w:asciiTheme="minorEastAsia" w:hAnsiTheme="minorEastAsia" w:eastAsiaTheme="minorEastAsia"/>
          <w:b/>
          <w:color w:val="000000"/>
          <w:sz w:val="24"/>
        </w:rPr>
        <w:t>招标物资包件划分</w:t>
      </w:r>
      <w:r>
        <w:rPr>
          <w:rFonts w:hint="eastAsia" w:asciiTheme="minorEastAsia" w:hAnsiTheme="minorEastAsia" w:eastAsiaTheme="minorEastAsia"/>
          <w:b/>
          <w:color w:val="000000"/>
          <w:sz w:val="24"/>
        </w:rPr>
        <w:t>清单</w:t>
      </w:r>
    </w:p>
    <w:tbl>
      <w:tblPr>
        <w:tblStyle w:val="39"/>
        <w:tblW w:w="8995" w:type="dxa"/>
        <w:jc w:val="center"/>
        <w:tblInd w:w="-905" w:type="dxa"/>
        <w:tblLayout w:type="fixed"/>
        <w:tblCellMar>
          <w:top w:w="0" w:type="dxa"/>
          <w:left w:w="0" w:type="dxa"/>
          <w:bottom w:w="0" w:type="dxa"/>
          <w:right w:w="0" w:type="dxa"/>
        </w:tblCellMar>
      </w:tblPr>
      <w:tblGrid>
        <w:gridCol w:w="623"/>
        <w:gridCol w:w="849"/>
        <w:gridCol w:w="1062"/>
        <w:gridCol w:w="1091"/>
        <w:gridCol w:w="542"/>
        <w:gridCol w:w="992"/>
        <w:gridCol w:w="1276"/>
        <w:gridCol w:w="970"/>
        <w:gridCol w:w="1035"/>
        <w:gridCol w:w="555"/>
      </w:tblGrid>
      <w:tr>
        <w:tblPrEx>
          <w:tblLayout w:type="fixed"/>
          <w:tblCellMar>
            <w:top w:w="0" w:type="dxa"/>
            <w:left w:w="0" w:type="dxa"/>
            <w:bottom w:w="0" w:type="dxa"/>
            <w:right w:w="0" w:type="dxa"/>
          </w:tblCellMar>
        </w:tblPrEx>
        <w:trPr>
          <w:trHeight w:val="731" w:hRule="atLeast"/>
          <w:jc w:val="center"/>
        </w:trPr>
        <w:tc>
          <w:tcPr>
            <w:tcW w:w="623" w:type="dxa"/>
            <w:tcBorders>
              <w:top w:val="single" w:color="auto" w:sz="8" w:space="0"/>
              <w:left w:val="single" w:color="auto" w:sz="8" w:space="0"/>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序号</w:t>
            </w:r>
          </w:p>
        </w:tc>
        <w:tc>
          <w:tcPr>
            <w:tcW w:w="849"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包件号</w:t>
            </w:r>
          </w:p>
        </w:tc>
        <w:tc>
          <w:tcPr>
            <w:tcW w:w="1062"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hint="eastAsia" w:ascii="ˎ̥" w:hAnsi="ˎ̥" w:cs="宋体"/>
                <w:b/>
                <w:bCs/>
                <w:color w:val="636363"/>
                <w:kern w:val="0"/>
                <w:sz w:val="20"/>
                <w:szCs w:val="20"/>
              </w:rPr>
              <w:t>物资</w:t>
            </w:r>
            <w:r>
              <w:rPr>
                <w:rFonts w:ascii="ˎ̥" w:hAnsi="ˎ̥" w:cs="宋体"/>
                <w:b/>
                <w:bCs/>
                <w:color w:val="636363"/>
                <w:kern w:val="0"/>
                <w:sz w:val="20"/>
                <w:szCs w:val="20"/>
              </w:rPr>
              <w:t>名称</w:t>
            </w:r>
          </w:p>
        </w:tc>
        <w:tc>
          <w:tcPr>
            <w:tcW w:w="1091" w:type="dxa"/>
            <w:tcBorders>
              <w:top w:val="single" w:color="auto" w:sz="8" w:space="0"/>
              <w:left w:val="nil"/>
              <w:bottom w:val="single" w:color="auto" w:sz="6" w:space="0"/>
              <w:right w:val="single" w:color="auto" w:sz="4" w:space="0"/>
            </w:tcBorders>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hint="eastAsia" w:ascii="ˎ̥" w:hAnsi="ˎ̥" w:cs="宋体"/>
                <w:b/>
                <w:bCs/>
                <w:color w:val="636363"/>
                <w:kern w:val="0"/>
                <w:sz w:val="20"/>
                <w:szCs w:val="20"/>
              </w:rPr>
              <w:t>性能参数</w:t>
            </w:r>
          </w:p>
        </w:tc>
        <w:tc>
          <w:tcPr>
            <w:tcW w:w="542" w:type="dxa"/>
            <w:tcBorders>
              <w:top w:val="single" w:color="auto" w:sz="8" w:space="0"/>
              <w:left w:val="single" w:color="auto" w:sz="4" w:space="0"/>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计量单位</w:t>
            </w:r>
          </w:p>
        </w:tc>
        <w:tc>
          <w:tcPr>
            <w:tcW w:w="992"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hint="eastAsia" w:ascii="ˎ̥" w:hAnsi="ˎ̥" w:cs="宋体"/>
                <w:b/>
                <w:bCs/>
                <w:color w:val="636363"/>
                <w:kern w:val="0"/>
                <w:sz w:val="20"/>
                <w:szCs w:val="20"/>
              </w:rPr>
              <w:t>需用</w:t>
            </w:r>
            <w:r>
              <w:rPr>
                <w:rFonts w:ascii="ˎ̥" w:hAnsi="ˎ̥" w:cs="宋体"/>
                <w:b/>
                <w:bCs/>
                <w:color w:val="636363"/>
                <w:kern w:val="0"/>
                <w:sz w:val="20"/>
                <w:szCs w:val="20"/>
              </w:rPr>
              <w:t>数量</w:t>
            </w:r>
          </w:p>
        </w:tc>
        <w:tc>
          <w:tcPr>
            <w:tcW w:w="1276" w:type="dxa"/>
            <w:tcBorders>
              <w:top w:val="single" w:color="auto" w:sz="8" w:space="0"/>
              <w:left w:val="nil"/>
              <w:bottom w:val="single" w:color="auto" w:sz="6"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18"/>
                <w:szCs w:val="18"/>
              </w:rPr>
              <w:t>招标文件售价（元）</w:t>
            </w:r>
          </w:p>
        </w:tc>
        <w:tc>
          <w:tcPr>
            <w:tcW w:w="970" w:type="dxa"/>
            <w:tcBorders>
              <w:top w:val="single" w:color="auto" w:sz="8" w:space="0"/>
              <w:left w:val="nil"/>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招标人名称</w:t>
            </w:r>
          </w:p>
        </w:tc>
        <w:tc>
          <w:tcPr>
            <w:tcW w:w="1035" w:type="dxa"/>
            <w:tcBorders>
              <w:top w:val="single" w:color="auto" w:sz="6" w:space="0"/>
              <w:left w:val="single" w:color="auto" w:sz="6" w:space="0"/>
              <w:bottom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color w:val="636363"/>
                <w:kern w:val="0"/>
                <w:sz w:val="18"/>
                <w:szCs w:val="18"/>
              </w:rPr>
            </w:pPr>
            <w:r>
              <w:rPr>
                <w:rFonts w:ascii="ˎ̥" w:hAnsi="ˎ̥" w:cs="宋体"/>
                <w:b/>
                <w:bCs/>
                <w:color w:val="636363"/>
                <w:kern w:val="0"/>
                <w:sz w:val="20"/>
                <w:szCs w:val="20"/>
              </w:rPr>
              <w:t>交货地点</w:t>
            </w:r>
          </w:p>
        </w:tc>
        <w:tc>
          <w:tcPr>
            <w:tcW w:w="555"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hint="eastAsia" w:ascii="ˎ̥" w:hAnsi="ˎ̥" w:cs="宋体"/>
                <w:b/>
                <w:bCs/>
                <w:color w:val="636363"/>
                <w:kern w:val="0"/>
                <w:sz w:val="20"/>
                <w:szCs w:val="20"/>
              </w:rPr>
              <w:t>备注</w:t>
            </w:r>
          </w:p>
        </w:tc>
      </w:tr>
      <w:tr>
        <w:tblPrEx>
          <w:tblLayout w:type="fixed"/>
          <w:tblCellMar>
            <w:top w:w="0" w:type="dxa"/>
            <w:left w:w="0" w:type="dxa"/>
            <w:bottom w:w="0" w:type="dxa"/>
            <w:right w:w="0" w:type="dxa"/>
          </w:tblCellMar>
        </w:tblPrEx>
        <w:trPr>
          <w:trHeight w:val="663"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kern w:val="0"/>
                <w:sz w:val="18"/>
                <w:szCs w:val="18"/>
              </w:rPr>
            </w:pPr>
            <w:r>
              <w:rPr>
                <w:rFonts w:hint="eastAsia" w:ascii="ˎ̥" w:hAnsi="ˎ̥" w:cs="宋体"/>
                <w:kern w:val="0"/>
                <w:sz w:val="18"/>
                <w:szCs w:val="18"/>
              </w:rPr>
              <w:t>1</w:t>
            </w:r>
          </w:p>
        </w:tc>
        <w:tc>
          <w:tcPr>
            <w:tcW w:w="849" w:type="dxa"/>
            <w:vMerge w:val="restart"/>
            <w:tcBorders>
              <w:top w:val="single" w:color="auto" w:sz="6"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ind w:firstLine="360" w:firstLineChars="200"/>
              <w:jc w:val="center"/>
              <w:rPr>
                <w:rFonts w:hint="eastAsia" w:ascii="ˎ̥" w:hAnsi="ˎ̥" w:cs="宋体"/>
                <w:color w:val="636363"/>
                <w:kern w:val="0"/>
                <w:sz w:val="18"/>
                <w:szCs w:val="18"/>
              </w:rPr>
            </w:pPr>
          </w:p>
          <w:p>
            <w:pPr>
              <w:widowControl/>
              <w:spacing w:before="100" w:beforeAutospacing="1" w:after="100" w:afterAutospacing="1" w:line="90" w:lineRule="atLeast"/>
              <w:ind w:firstLine="360" w:firstLineChars="200"/>
              <w:jc w:val="center"/>
              <w:rPr>
                <w:rFonts w:hint="eastAsia" w:ascii="ˎ̥" w:hAnsi="ˎ̥" w:cs="宋体"/>
                <w:color w:val="636363"/>
                <w:kern w:val="0"/>
                <w:sz w:val="18"/>
                <w:szCs w:val="18"/>
              </w:rPr>
            </w:pPr>
          </w:p>
          <w:p>
            <w:pPr>
              <w:widowControl/>
              <w:spacing w:before="100" w:beforeAutospacing="1" w:after="100" w:afterAutospacing="1" w:line="90" w:lineRule="atLeast"/>
              <w:ind w:firstLine="360" w:firstLineChars="200"/>
              <w:jc w:val="center"/>
              <w:rPr>
                <w:rFonts w:hint="eastAsia" w:ascii="ˎ̥" w:hAnsi="ˎ̥" w:cs="宋体"/>
                <w:color w:val="636363"/>
                <w:kern w:val="0"/>
                <w:sz w:val="18"/>
                <w:szCs w:val="18"/>
              </w:rPr>
            </w:pPr>
          </w:p>
          <w:p>
            <w:pPr>
              <w:widowControl/>
              <w:spacing w:before="100" w:beforeAutospacing="1" w:after="100" w:afterAutospacing="1" w:line="90" w:lineRule="atLeast"/>
              <w:ind w:firstLine="360" w:firstLineChars="200"/>
              <w:jc w:val="center"/>
              <w:rPr>
                <w:rFonts w:hint="eastAsia"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1</w:t>
            </w:r>
          </w:p>
          <w:p>
            <w:pPr>
              <w:widowControl/>
              <w:spacing w:before="100" w:beforeAutospacing="1" w:after="100" w:afterAutospacing="1" w:line="90" w:lineRule="atLeast"/>
              <w:ind w:firstLine="360" w:firstLineChars="200"/>
              <w:jc w:val="center"/>
              <w:rPr>
                <w:rFonts w:hint="eastAsia" w:ascii="ˎ̥" w:hAnsi="ˎ̥" w:cs="宋体"/>
                <w:color w:val="636363"/>
                <w:kern w:val="0"/>
                <w:sz w:val="18"/>
                <w:szCs w:val="18"/>
              </w:rPr>
            </w:pPr>
          </w:p>
          <w:p>
            <w:pPr>
              <w:widowControl/>
              <w:spacing w:before="100" w:beforeAutospacing="1" w:after="100" w:afterAutospacing="1" w:line="90" w:lineRule="atLeast"/>
              <w:ind w:firstLine="360" w:firstLineChars="200"/>
              <w:jc w:val="center"/>
              <w:rPr>
                <w:rFonts w:hint="eastAsia" w:ascii="ˎ̥" w:hAnsi="ˎ̥" w:cs="宋体"/>
                <w:color w:val="636363"/>
                <w:kern w:val="0"/>
                <w:sz w:val="18"/>
                <w:szCs w:val="18"/>
              </w:rPr>
            </w:pPr>
          </w:p>
          <w:p>
            <w:pPr>
              <w:widowControl/>
              <w:spacing w:before="100" w:beforeAutospacing="1" w:after="100" w:afterAutospacing="1" w:line="90" w:lineRule="atLeast"/>
              <w:ind w:firstLine="360" w:firstLineChars="200"/>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黑体" w:hAnsi="黑体" w:eastAsia="黑体" w:cs="黑体"/>
                <w:kern w:val="0"/>
                <w:sz w:val="16"/>
                <w:szCs w:val="16"/>
                <w:lang w:eastAsia="zh-CN"/>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黑体" w:hAnsi="黑体" w:eastAsia="黑体" w:cs="黑体"/>
                <w:kern w:val="0"/>
                <w:szCs w:val="21"/>
                <w:lang w:val="en-US" w:eastAsia="zh-CN"/>
              </w:rPr>
            </w:pPr>
            <w:r>
              <w:rPr>
                <w:rFonts w:hint="eastAsia" w:ascii="黑体" w:hAnsi="黑体" w:eastAsia="黑体" w:cs="黑体"/>
                <w:kern w:val="0"/>
                <w:szCs w:val="21"/>
                <w:lang w:val="en-US" w:eastAsia="zh-CN"/>
              </w:rPr>
              <w:t>3*185+2*95</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黑体" w:hAnsi="黑体" w:eastAsia="黑体" w:cs="黑体"/>
                <w:kern w:val="0"/>
                <w:sz w:val="16"/>
                <w:szCs w:val="16"/>
                <w:lang w:eastAsia="zh-CN"/>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1000</w:t>
            </w:r>
          </w:p>
        </w:tc>
        <w:tc>
          <w:tcPr>
            <w:tcW w:w="1276" w:type="dxa"/>
            <w:vMerge w:val="restart"/>
            <w:tcBorders>
              <w:top w:val="single" w:color="auto" w:sz="6"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default"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200元</w:t>
            </w:r>
          </w:p>
        </w:tc>
        <w:tc>
          <w:tcPr>
            <w:tcW w:w="970" w:type="dxa"/>
            <w:vMerge w:val="restart"/>
            <w:tcBorders>
              <w:top w:val="single" w:color="auto" w:sz="6" w:space="0"/>
              <w:left w:val="single" w:color="auto" w:sz="6" w:space="0"/>
              <w:right w:val="single" w:color="auto" w:sz="6" w:space="0"/>
            </w:tcBorders>
            <w:shd w:val="clear" w:color="auto" w:fill="auto"/>
            <w:tcMar>
              <w:top w:w="0" w:type="dxa"/>
              <w:left w:w="108" w:type="dxa"/>
              <w:bottom w:w="0" w:type="dxa"/>
              <w:right w:w="108" w:type="dxa"/>
            </w:tcMar>
            <w:vAlign w:val="center"/>
          </w:tcPr>
          <w:p>
            <w:pPr>
              <w:widowControl/>
              <w:textAlignment w:val="center"/>
              <w:rPr>
                <w:rFonts w:hint="eastAsia" w:ascii="ˎ̥" w:hAnsi="ˎ̥" w:cs="宋体"/>
                <w:b/>
                <w:bCs/>
                <w:color w:val="636363"/>
                <w:kern w:val="0"/>
                <w:sz w:val="18"/>
                <w:szCs w:val="18"/>
              </w:rPr>
            </w:pPr>
          </w:p>
          <w:p>
            <w:pPr>
              <w:widowControl/>
              <w:textAlignment w:val="center"/>
              <w:rPr>
                <w:rFonts w:hint="eastAsia" w:ascii="ˎ̥" w:hAnsi="ˎ̥" w:cs="宋体"/>
                <w:b/>
                <w:bCs/>
                <w:color w:val="636363"/>
                <w:kern w:val="0"/>
                <w:sz w:val="18"/>
                <w:szCs w:val="18"/>
              </w:rPr>
            </w:pPr>
            <w:r>
              <w:rPr>
                <w:rFonts w:hint="eastAsia" w:asciiTheme="minorEastAsia" w:hAnsiTheme="minorEastAsia" w:eastAsiaTheme="minorEastAsia"/>
                <w:color w:val="000000"/>
                <w:sz w:val="18"/>
                <w:szCs w:val="18"/>
                <w:u w:val="single"/>
              </w:rPr>
              <w:t>中铁城建集团第一工程有限公司中车·国际广场三期项目施工总承包工程(一标段)</w:t>
            </w:r>
          </w:p>
          <w:p>
            <w:pPr>
              <w:widowControl/>
              <w:textAlignment w:val="center"/>
              <w:rPr>
                <w:rFonts w:hint="eastAsia" w:ascii="ˎ̥" w:hAnsi="ˎ̥" w:cs="宋体"/>
                <w:b/>
                <w:bCs/>
                <w:color w:val="636363"/>
                <w:kern w:val="0"/>
                <w:sz w:val="18"/>
                <w:szCs w:val="18"/>
              </w:rPr>
            </w:pPr>
          </w:p>
          <w:p>
            <w:pPr>
              <w:widowControl/>
              <w:textAlignment w:val="center"/>
              <w:rPr>
                <w:rFonts w:hint="eastAsia" w:ascii="ˎ̥" w:hAnsi="ˎ̥" w:cs="宋体"/>
                <w:b/>
                <w:bCs/>
                <w:color w:val="636363"/>
                <w:kern w:val="0"/>
                <w:sz w:val="18"/>
                <w:szCs w:val="18"/>
              </w:rPr>
            </w:pPr>
          </w:p>
          <w:p>
            <w:pPr>
              <w:widowControl/>
              <w:textAlignment w:val="center"/>
              <w:rPr>
                <w:rFonts w:hint="eastAsia" w:ascii="ˎ̥" w:hAnsi="ˎ̥" w:cs="宋体"/>
                <w:color w:val="636363"/>
                <w:kern w:val="0"/>
                <w:sz w:val="13"/>
                <w:szCs w:val="13"/>
              </w:rPr>
            </w:pPr>
          </w:p>
        </w:tc>
        <w:tc>
          <w:tcPr>
            <w:tcW w:w="1035" w:type="dxa"/>
            <w:vMerge w:val="restart"/>
            <w:tcBorders>
              <w:top w:val="single" w:color="auto" w:sz="6" w:space="0"/>
              <w:left w:val="single" w:color="auto" w:sz="6" w:space="0"/>
              <w:right w:val="single" w:color="auto" w:sz="4" w:space="0"/>
            </w:tcBorders>
            <w:shd w:val="clear" w:color="auto" w:fill="auto"/>
            <w:tcMar>
              <w:top w:w="0" w:type="dxa"/>
              <w:left w:w="108" w:type="dxa"/>
              <w:bottom w:w="0" w:type="dxa"/>
              <w:right w:w="108" w:type="dxa"/>
            </w:tcMar>
            <w:vAlign w:val="center"/>
          </w:tcPr>
          <w:p>
            <w:pPr>
              <w:widowControl/>
              <w:jc w:val="center"/>
              <w:textAlignment w:val="center"/>
              <w:rPr>
                <w:rFonts w:asciiTheme="majorEastAsia" w:hAnsiTheme="majorEastAsia" w:eastAsiaTheme="majorEastAsia" w:cstheme="majorEastAsia"/>
                <w:kern w:val="0"/>
                <w:sz w:val="18"/>
                <w:szCs w:val="18"/>
              </w:rPr>
            </w:pPr>
          </w:p>
          <w:p>
            <w:pPr>
              <w:widowControl/>
              <w:textAlignment w:val="center"/>
              <w:rPr>
                <w:rFonts w:asciiTheme="majorEastAsia" w:hAnsiTheme="majorEastAsia" w:eastAsiaTheme="majorEastAsia" w:cstheme="majorEastAsia"/>
                <w:kern w:val="0"/>
                <w:sz w:val="18"/>
                <w:szCs w:val="18"/>
              </w:rPr>
            </w:pPr>
          </w:p>
          <w:p>
            <w:pPr>
              <w:widowControl/>
              <w:textAlignment w:val="center"/>
              <w:rPr>
                <w:rFonts w:asciiTheme="majorEastAsia" w:hAnsiTheme="majorEastAsia" w:eastAsiaTheme="majorEastAsia" w:cstheme="majorEastAsia"/>
                <w:kern w:val="0"/>
                <w:sz w:val="18"/>
                <w:szCs w:val="18"/>
              </w:rPr>
            </w:pPr>
          </w:p>
          <w:p>
            <w:pPr>
              <w:widowControl/>
              <w:textAlignment w:val="center"/>
              <w:rPr>
                <w:rFonts w:asciiTheme="majorEastAsia" w:hAnsiTheme="majorEastAsia" w:eastAsiaTheme="majorEastAsia" w:cstheme="majorEastAsia"/>
                <w:kern w:val="0"/>
                <w:sz w:val="18"/>
                <w:szCs w:val="18"/>
              </w:rPr>
            </w:pPr>
          </w:p>
          <w:p>
            <w:pPr>
              <w:widowControl/>
              <w:textAlignment w:val="center"/>
              <w:rPr>
                <w:rFonts w:asciiTheme="majorEastAsia" w:hAnsiTheme="majorEastAsia" w:eastAsiaTheme="majorEastAsia" w:cstheme="majorEastAsia"/>
                <w:kern w:val="0"/>
                <w:sz w:val="18"/>
                <w:szCs w:val="18"/>
              </w:rPr>
            </w:pPr>
            <w:r>
              <w:rPr>
                <w:rFonts w:hint="eastAsia" w:asciiTheme="minorEastAsia" w:hAnsiTheme="minorEastAsia" w:eastAsiaTheme="minorEastAsia"/>
                <w:color w:val="000000"/>
                <w:sz w:val="18"/>
                <w:szCs w:val="18"/>
                <w:u w:val="single"/>
              </w:rPr>
              <w:t>太原市解放北路十号太原市机车车俩旧厂区内</w:t>
            </w:r>
          </w:p>
          <w:p>
            <w:pPr>
              <w:widowControl/>
              <w:textAlignment w:val="center"/>
              <w:rPr>
                <w:rFonts w:asciiTheme="majorEastAsia" w:hAnsiTheme="majorEastAsia" w:eastAsiaTheme="majorEastAsia" w:cstheme="majorEastAsia"/>
                <w:kern w:val="0"/>
                <w:sz w:val="18"/>
                <w:szCs w:val="18"/>
              </w:rPr>
            </w:pPr>
          </w:p>
          <w:p>
            <w:pPr>
              <w:widowControl/>
              <w:jc w:val="center"/>
              <w:textAlignment w:val="center"/>
              <w:rPr>
                <w:rFonts w:asciiTheme="majorEastAsia" w:hAnsiTheme="majorEastAsia" w:eastAsiaTheme="majorEastAsia" w:cstheme="majorEastAsia"/>
                <w:kern w:val="0"/>
                <w:sz w:val="18"/>
                <w:szCs w:val="18"/>
              </w:rPr>
            </w:pPr>
          </w:p>
          <w:p>
            <w:pPr>
              <w:widowControl/>
              <w:jc w:val="center"/>
              <w:textAlignment w:val="center"/>
              <w:rPr>
                <w:rFonts w:hint="eastAsia" w:ascii="ˎ̥" w:hAnsi="ˎ̥" w:cs="宋体"/>
                <w:color w:val="636363"/>
                <w:kern w:val="0"/>
                <w:sz w:val="13"/>
                <w:szCs w:val="13"/>
              </w:rPr>
            </w:pPr>
          </w:p>
        </w:tc>
        <w:tc>
          <w:tcPr>
            <w:tcW w:w="555" w:type="dxa"/>
            <w:vMerge w:val="restart"/>
            <w:tcBorders>
              <w:top w:val="single" w:color="auto" w:sz="6" w:space="0"/>
              <w:left w:val="single" w:color="auto" w:sz="4" w:space="0"/>
              <w:right w:val="single" w:color="auto" w:sz="6" w:space="0"/>
            </w:tcBorders>
            <w:shd w:val="clear" w:color="auto" w:fill="auto"/>
            <w:tcMar>
              <w:top w:w="0" w:type="dxa"/>
              <w:left w:w="108" w:type="dxa"/>
              <w:bottom w:w="0" w:type="dxa"/>
              <w:right w:w="108" w:type="dxa"/>
            </w:tcMar>
            <w:vAlign w:val="center"/>
          </w:tcPr>
          <w:p>
            <w:pPr>
              <w:widowControl/>
              <w:jc w:val="left"/>
              <w:textAlignment w:val="center"/>
              <w:rPr>
                <w:rFonts w:hint="eastAsia" w:ascii="ˎ̥" w:hAnsi="ˎ̥" w:cs="宋体"/>
                <w:color w:val="636363"/>
                <w:kern w:val="0"/>
                <w:szCs w:val="21"/>
              </w:rPr>
            </w:pPr>
          </w:p>
        </w:tc>
      </w:tr>
      <w:tr>
        <w:tblPrEx>
          <w:tblLayout w:type="fixed"/>
          <w:tblCellMar>
            <w:top w:w="0" w:type="dxa"/>
            <w:left w:w="0" w:type="dxa"/>
            <w:bottom w:w="0" w:type="dxa"/>
            <w:right w:w="0" w:type="dxa"/>
          </w:tblCellMar>
        </w:tblPrEx>
        <w:trPr>
          <w:trHeight w:val="633"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kern w:val="0"/>
                <w:sz w:val="18"/>
                <w:szCs w:val="18"/>
              </w:rPr>
            </w:pPr>
            <w:r>
              <w:rPr>
                <w:rFonts w:hint="eastAsia" w:ascii="ˎ̥" w:hAnsi="ˎ̥" w:cs="宋体"/>
                <w:kern w:val="0"/>
                <w:sz w:val="18"/>
                <w:szCs w:val="18"/>
              </w:rPr>
              <w:t>2</w:t>
            </w:r>
          </w:p>
        </w:tc>
        <w:tc>
          <w:tcPr>
            <w:tcW w:w="849"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kern w:val="0"/>
                <w:sz w:val="16"/>
                <w:szCs w:val="16"/>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黑体" w:hAnsi="黑体" w:eastAsia="黑体" w:cs="黑体"/>
                <w:kern w:val="0"/>
                <w:szCs w:val="21"/>
                <w:lang w:val="en-US" w:eastAsia="zh-CN"/>
              </w:rPr>
            </w:pPr>
            <w:r>
              <w:rPr>
                <w:rFonts w:hint="eastAsia" w:ascii="黑体" w:hAnsi="黑体" w:eastAsia="黑体" w:cs="黑体"/>
                <w:kern w:val="0"/>
                <w:szCs w:val="21"/>
                <w:lang w:val="en-US" w:eastAsia="zh-CN"/>
              </w:rPr>
              <w:t>3*120+2*70</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kern w:val="0"/>
                <w:sz w:val="16"/>
                <w:szCs w:val="16"/>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1200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555" w:type="dxa"/>
            <w:vMerge w:val="continue"/>
            <w:tcBorders>
              <w:left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Layout w:type="fixed"/>
          <w:tblCellMar>
            <w:top w:w="0" w:type="dxa"/>
            <w:left w:w="0" w:type="dxa"/>
            <w:bottom w:w="0" w:type="dxa"/>
            <w:right w:w="0" w:type="dxa"/>
          </w:tblCellMar>
        </w:tblPrEx>
        <w:trPr>
          <w:trHeight w:val="775"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kern w:val="0"/>
                <w:sz w:val="18"/>
                <w:szCs w:val="18"/>
              </w:rPr>
            </w:pPr>
            <w:r>
              <w:rPr>
                <w:rFonts w:hint="eastAsia" w:ascii="ˎ̥" w:hAnsi="ˎ̥" w:cs="宋体"/>
                <w:kern w:val="0"/>
                <w:sz w:val="18"/>
                <w:szCs w:val="18"/>
              </w:rPr>
              <w:t>3</w:t>
            </w:r>
          </w:p>
        </w:tc>
        <w:tc>
          <w:tcPr>
            <w:tcW w:w="849"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kern w:val="0"/>
                <w:sz w:val="16"/>
                <w:szCs w:val="16"/>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黑体" w:hAnsi="黑体" w:eastAsia="黑体" w:cs="黑体"/>
                <w:kern w:val="0"/>
                <w:szCs w:val="21"/>
                <w:lang w:val="en-US" w:eastAsia="zh-CN"/>
              </w:rPr>
            </w:pPr>
            <w:r>
              <w:rPr>
                <w:rFonts w:hint="eastAsia" w:ascii="黑体" w:hAnsi="黑体" w:eastAsia="黑体" w:cs="黑体"/>
                <w:kern w:val="0"/>
                <w:szCs w:val="21"/>
                <w:lang w:val="en-US" w:eastAsia="zh-CN"/>
              </w:rPr>
              <w:t>3*95+2*50</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kern w:val="0"/>
                <w:sz w:val="16"/>
                <w:szCs w:val="16"/>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1000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555" w:type="dxa"/>
            <w:vMerge w:val="continue"/>
            <w:tcBorders>
              <w:left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Layout w:type="fixed"/>
          <w:tblCellMar>
            <w:top w:w="0" w:type="dxa"/>
            <w:left w:w="0" w:type="dxa"/>
            <w:bottom w:w="0" w:type="dxa"/>
            <w:right w:w="0" w:type="dxa"/>
          </w:tblCellMar>
        </w:tblPrEx>
        <w:trPr>
          <w:trHeight w:val="708"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kern w:val="0"/>
                <w:sz w:val="18"/>
                <w:szCs w:val="18"/>
              </w:rPr>
            </w:pPr>
            <w:r>
              <w:rPr>
                <w:rFonts w:hint="eastAsia" w:ascii="ˎ̥" w:hAnsi="ˎ̥" w:cs="宋体"/>
                <w:kern w:val="0"/>
                <w:sz w:val="18"/>
                <w:szCs w:val="18"/>
              </w:rPr>
              <w:t>4</w:t>
            </w:r>
          </w:p>
        </w:tc>
        <w:tc>
          <w:tcPr>
            <w:tcW w:w="849"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color w:val="636363"/>
                <w:kern w:val="0"/>
                <w:sz w:val="16"/>
                <w:szCs w:val="16"/>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黑体" w:hAnsi="黑体" w:eastAsia="黑体" w:cs="黑体"/>
                <w:color w:val="636363"/>
                <w:kern w:val="0"/>
                <w:szCs w:val="21"/>
                <w:lang w:val="en-US" w:eastAsia="zh-CN"/>
              </w:rPr>
            </w:pPr>
            <w:r>
              <w:rPr>
                <w:rFonts w:hint="eastAsia" w:ascii="黑体" w:hAnsi="黑体" w:eastAsia="黑体" w:cs="黑体"/>
                <w:color w:val="636363"/>
                <w:kern w:val="0"/>
                <w:szCs w:val="21"/>
                <w:lang w:val="en-US" w:eastAsia="zh-CN"/>
              </w:rPr>
              <w:t>3*70+2*35</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ascii="黑体" w:hAnsi="黑体" w:eastAsia="黑体" w:cs="黑体"/>
                <w:color w:val="636363"/>
                <w:kern w:val="0"/>
                <w:sz w:val="16"/>
                <w:szCs w:val="16"/>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黑体" w:hAnsi="黑体" w:eastAsia="黑体" w:cs="黑体"/>
                <w:color w:val="636363"/>
                <w:kern w:val="0"/>
                <w:sz w:val="16"/>
                <w:szCs w:val="16"/>
                <w:lang w:val="en-US" w:eastAsia="zh-CN"/>
              </w:rPr>
            </w:pPr>
            <w:r>
              <w:rPr>
                <w:rFonts w:hint="eastAsia" w:ascii="黑体" w:hAnsi="黑体" w:eastAsia="黑体" w:cs="黑体"/>
                <w:color w:val="636363"/>
                <w:kern w:val="0"/>
                <w:sz w:val="16"/>
                <w:szCs w:val="16"/>
                <w:lang w:val="en-US" w:eastAsia="zh-CN"/>
              </w:rPr>
              <w:t>1000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555" w:type="dxa"/>
            <w:vMerge w:val="continue"/>
            <w:tcBorders>
              <w:left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Layout w:type="fixed"/>
          <w:tblCellMar>
            <w:top w:w="0" w:type="dxa"/>
            <w:left w:w="0" w:type="dxa"/>
            <w:bottom w:w="0" w:type="dxa"/>
            <w:right w:w="0" w:type="dxa"/>
          </w:tblCellMar>
        </w:tblPrEx>
        <w:trPr>
          <w:trHeight w:val="712"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r>
              <w:rPr>
                <w:rFonts w:hint="eastAsia" w:ascii="ˎ̥" w:hAnsi="ˎ̥" w:cs="宋体"/>
                <w:color w:val="636363"/>
                <w:kern w:val="0"/>
                <w:sz w:val="18"/>
                <w:szCs w:val="18"/>
              </w:rPr>
              <w:t>5</w:t>
            </w:r>
          </w:p>
        </w:tc>
        <w:tc>
          <w:tcPr>
            <w:tcW w:w="849"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ˎ̥" w:hAnsi="ˎ̥" w:cs="宋体"/>
                <w:color w:val="636363"/>
                <w:kern w:val="0"/>
                <w:sz w:val="18"/>
                <w:szCs w:val="18"/>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ˎ̥" w:hAnsi="ˎ̥" w:eastAsia="宋体" w:cs="宋体"/>
                <w:color w:val="636363"/>
                <w:kern w:val="0"/>
                <w:szCs w:val="21"/>
                <w:lang w:val="en-US" w:eastAsia="zh-CN"/>
              </w:rPr>
            </w:pPr>
            <w:r>
              <w:rPr>
                <w:rFonts w:hint="eastAsia" w:ascii="ˎ̥" w:hAnsi="ˎ̥" w:cs="宋体"/>
                <w:color w:val="636363"/>
                <w:kern w:val="0"/>
                <w:szCs w:val="21"/>
                <w:lang w:val="en-US" w:eastAsia="zh-CN"/>
              </w:rPr>
              <w:t>3*50+2*25</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ˎ̥" w:hAnsi="ˎ̥" w:cs="宋体"/>
                <w:color w:val="636363"/>
                <w:kern w:val="0"/>
                <w:sz w:val="18"/>
                <w:szCs w:val="18"/>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4000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555" w:type="dxa"/>
            <w:vMerge w:val="continue"/>
            <w:tcBorders>
              <w:left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r>
        <w:tblPrEx>
          <w:tblLayout w:type="fixed"/>
          <w:tblCellMar>
            <w:top w:w="0" w:type="dxa"/>
            <w:left w:w="0" w:type="dxa"/>
            <w:bottom w:w="0" w:type="dxa"/>
            <w:right w:w="0" w:type="dxa"/>
          </w:tblCellMar>
        </w:tblPrEx>
        <w:trPr>
          <w:trHeight w:val="712" w:hRule="atLeast"/>
          <w:jc w:val="center"/>
        </w:trPr>
        <w:tc>
          <w:tcPr>
            <w:tcW w:w="623"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r>
              <w:rPr>
                <w:rFonts w:hint="eastAsia" w:ascii="ˎ̥" w:hAnsi="ˎ̥" w:cs="宋体"/>
                <w:color w:val="636363"/>
                <w:kern w:val="0"/>
                <w:sz w:val="18"/>
                <w:szCs w:val="18"/>
              </w:rPr>
              <w:t>6</w:t>
            </w:r>
          </w:p>
        </w:tc>
        <w:tc>
          <w:tcPr>
            <w:tcW w:w="849"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6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ˎ̥" w:hAnsi="ˎ̥" w:cs="宋体"/>
                <w:color w:val="636363"/>
                <w:kern w:val="0"/>
                <w:sz w:val="18"/>
                <w:szCs w:val="18"/>
              </w:rPr>
            </w:pPr>
            <w:r>
              <w:rPr>
                <w:rFonts w:hint="eastAsia" w:ascii="黑体" w:hAnsi="黑体" w:eastAsia="黑体" w:cs="黑体"/>
                <w:kern w:val="0"/>
                <w:sz w:val="18"/>
                <w:szCs w:val="18"/>
                <w:lang w:eastAsia="zh-CN"/>
              </w:rPr>
              <w:t>铝电缆</w:t>
            </w:r>
          </w:p>
        </w:tc>
        <w:tc>
          <w:tcPr>
            <w:tcW w:w="1091" w:type="dxa"/>
            <w:tcBorders>
              <w:top w:val="single" w:color="auto" w:sz="6" w:space="0"/>
              <w:left w:val="single" w:color="auto" w:sz="6" w:space="0"/>
              <w:bottom w:val="single" w:color="auto" w:sz="6" w:space="0"/>
              <w:right w:val="single" w:color="auto" w:sz="4" w:space="0"/>
            </w:tcBorders>
            <w:tcMar>
              <w:top w:w="0" w:type="dxa"/>
              <w:left w:w="108" w:type="dxa"/>
              <w:bottom w:w="0" w:type="dxa"/>
              <w:right w:w="108" w:type="dxa"/>
            </w:tcMar>
            <w:vAlign w:val="center"/>
          </w:tcPr>
          <w:p>
            <w:pPr>
              <w:widowControl/>
              <w:jc w:val="center"/>
              <w:textAlignment w:val="center"/>
              <w:rPr>
                <w:rFonts w:hint="default" w:ascii="ˎ̥" w:hAnsi="ˎ̥" w:eastAsia="宋体" w:cs="宋体"/>
                <w:color w:val="636363"/>
                <w:kern w:val="0"/>
                <w:szCs w:val="21"/>
                <w:lang w:val="en-US" w:eastAsia="zh-CN"/>
              </w:rPr>
            </w:pPr>
            <w:r>
              <w:rPr>
                <w:rFonts w:hint="eastAsia" w:ascii="ˎ̥" w:hAnsi="ˎ̥" w:cs="宋体"/>
                <w:color w:val="636363"/>
                <w:kern w:val="0"/>
                <w:szCs w:val="21"/>
                <w:lang w:val="en-US" w:eastAsia="zh-CN"/>
              </w:rPr>
              <w:t>3*35+2*16</w:t>
            </w:r>
          </w:p>
        </w:tc>
        <w:tc>
          <w:tcPr>
            <w:tcW w:w="542" w:type="dxa"/>
            <w:tcBorders>
              <w:top w:val="single" w:color="auto" w:sz="6" w:space="0"/>
              <w:left w:val="single" w:color="auto" w:sz="4"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eastAsia" w:ascii="ˎ̥" w:hAnsi="ˎ̥" w:cs="宋体"/>
                <w:color w:val="636363"/>
                <w:kern w:val="0"/>
                <w:sz w:val="18"/>
                <w:szCs w:val="18"/>
              </w:rPr>
            </w:pPr>
            <w:r>
              <w:rPr>
                <w:rFonts w:hint="eastAsia" w:ascii="黑体" w:hAnsi="黑体" w:eastAsia="黑体" w:cs="黑体"/>
                <w:kern w:val="0"/>
                <w:sz w:val="16"/>
                <w:szCs w:val="16"/>
                <w:lang w:eastAsia="zh-CN"/>
              </w:rPr>
              <w:t>米</w:t>
            </w:r>
          </w:p>
        </w:tc>
        <w:tc>
          <w:tcPr>
            <w:tcW w:w="992" w:type="dxa"/>
            <w:tcBorders>
              <w:top w:val="single" w:color="auto" w:sz="6" w:space="0"/>
              <w:left w:val="single" w:color="auto" w:sz="6" w:space="0"/>
              <w:bottom w:val="single" w:color="auto" w:sz="6" w:space="0"/>
              <w:right w:val="single" w:color="auto" w:sz="6" w:space="0"/>
            </w:tcBorders>
            <w:shd w:val="clear" w:color="auto" w:fill="auto"/>
            <w:tcMar>
              <w:top w:w="0" w:type="dxa"/>
              <w:left w:w="108" w:type="dxa"/>
              <w:bottom w:w="0" w:type="dxa"/>
              <w:right w:w="108" w:type="dxa"/>
            </w:tcMar>
            <w:vAlign w:val="center"/>
          </w:tcPr>
          <w:p>
            <w:pPr>
              <w:widowControl/>
              <w:jc w:val="center"/>
              <w:textAlignment w:val="center"/>
              <w:rPr>
                <w:rFonts w:hint="default"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600</w:t>
            </w:r>
          </w:p>
        </w:tc>
        <w:tc>
          <w:tcPr>
            <w:tcW w:w="1276"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970" w:type="dxa"/>
            <w:vMerge w:val="continue"/>
            <w:tcBorders>
              <w:left w:val="single" w:color="auto" w:sz="6"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rPr>
                <w:rFonts w:hint="eastAsia" w:ascii="ˎ̥" w:hAnsi="ˎ̥" w:cs="宋体"/>
                <w:color w:val="636363"/>
                <w:kern w:val="0"/>
                <w:sz w:val="18"/>
                <w:szCs w:val="18"/>
              </w:rPr>
            </w:pPr>
          </w:p>
        </w:tc>
        <w:tc>
          <w:tcPr>
            <w:tcW w:w="1035" w:type="dxa"/>
            <w:vMerge w:val="continue"/>
            <w:tcBorders>
              <w:left w:val="single" w:color="auto" w:sz="6" w:space="0"/>
              <w:right w:val="single" w:color="auto" w:sz="4"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c>
          <w:tcPr>
            <w:tcW w:w="555" w:type="dxa"/>
            <w:vMerge w:val="continue"/>
            <w:tcBorders>
              <w:left w:val="single" w:color="auto" w:sz="4" w:space="0"/>
              <w:right w:val="single" w:color="auto" w:sz="6" w:space="0"/>
            </w:tcBorders>
            <w:shd w:val="clear" w:color="auto" w:fill="auto"/>
            <w:tcMar>
              <w:top w:w="0" w:type="dxa"/>
              <w:left w:w="108" w:type="dxa"/>
              <w:bottom w:w="0" w:type="dxa"/>
              <w:right w:w="108" w:type="dxa"/>
            </w:tcMar>
            <w:vAlign w:val="center"/>
          </w:tcPr>
          <w:p>
            <w:pPr>
              <w:widowControl/>
              <w:spacing w:before="100" w:beforeAutospacing="1" w:after="100" w:afterAutospacing="1" w:line="90" w:lineRule="atLeast"/>
              <w:jc w:val="center"/>
              <w:rPr>
                <w:rFonts w:hint="eastAsia" w:ascii="ˎ̥" w:hAnsi="ˎ̥" w:cs="宋体"/>
                <w:color w:val="636363"/>
                <w:kern w:val="0"/>
                <w:sz w:val="18"/>
                <w:szCs w:val="18"/>
              </w:rPr>
            </w:pPr>
          </w:p>
        </w:tc>
      </w:tr>
    </w:tbl>
    <w:p>
      <w:pPr>
        <w:widowControl/>
        <w:spacing w:after="240" w:line="300" w:lineRule="atLeast"/>
        <w:jc w:val="left"/>
        <w:rPr>
          <w:rFonts w:hint="eastAsia" w:asciiTheme="minorEastAsia" w:hAnsiTheme="minorEastAsia" w:eastAsiaTheme="minorEastAsia"/>
          <w:b/>
          <w:color w:val="000000"/>
          <w:sz w:val="24"/>
          <w:lang w:val="en-US" w:eastAsia="zh-CN"/>
        </w:rPr>
      </w:pPr>
    </w:p>
    <w:p>
      <w:pPr>
        <w:spacing w:before="240" w:line="276" w:lineRule="auto"/>
        <w:rPr>
          <w:rFonts w:asciiTheme="minorEastAsia" w:hAnsiTheme="minorEastAsia" w:eastAsiaTheme="minorEastAsia"/>
          <w:b/>
          <w:color w:val="000000"/>
          <w:sz w:val="24"/>
        </w:rPr>
      </w:pPr>
      <w:r>
        <w:rPr>
          <w:rFonts w:hint="eastAsia" w:asciiTheme="minorEastAsia" w:hAnsiTheme="minorEastAsia" w:eastAsiaTheme="minorEastAsia"/>
          <w:b/>
          <w:color w:val="000000"/>
          <w:sz w:val="24"/>
        </w:rPr>
        <w:t>2.投标人资格条件</w:t>
      </w:r>
      <w:r>
        <w:rPr>
          <w:rFonts w:hint="eastAsia" w:asciiTheme="minorEastAsia" w:hAnsiTheme="minorEastAsia" w:eastAsiaTheme="minorEastAsia"/>
          <w:bCs/>
          <w:i/>
          <w:iCs/>
          <w:color w:val="FF0000"/>
          <w:sz w:val="24"/>
        </w:rPr>
        <w:t>（根据实际采购物资增减投标人资格条件）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2.1 营业范围：在中国境内依法注册，具有独立法人资格、具有招标物资生产或供应经验的生产厂或代理商，具有合法、有效的企业法人营业执照、税务登记证书，且为一般纳税人。</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2.2 生产能力：投标人为生产厂家，具有有效的投标产品全国工业产品生产许可证；投标人为经销商或代理商，须具备100万元以上的年销售额。</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2.3 财务能力：具有良好的资金财务状况，生产厂家注册资金不低于 100 万元人民币。</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2.4 质量保证能力：生产厂获得并提供ISO9001质量管理体系认证，产品符合国家现行标准，具有近两年由省、部级及以上检验、检测机构出具的投标物资合格有效的质量检验报告。</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2.5 供货业绩：投标人具有为中大型企业服务三个项目以上同类业绩相关证明材料，近两年内未发生过重大质量事件。</w:t>
      </w:r>
    </w:p>
    <w:p>
      <w:pPr>
        <w:widowControl/>
        <w:spacing w:line="276" w:lineRule="auto"/>
        <w:ind w:firstLine="480" w:firstLineChars="200"/>
        <w:jc w:val="left"/>
        <w:rPr>
          <w:rFonts w:asciiTheme="minorEastAsia" w:hAnsiTheme="minorEastAsia" w:eastAsiaTheme="minorEastAsia"/>
          <w:color w:val="000000"/>
          <w:sz w:val="24"/>
        </w:rPr>
      </w:pPr>
      <w:r>
        <w:rPr>
          <w:rFonts w:hint="eastAsia" w:asciiTheme="minorEastAsia" w:hAnsiTheme="minorEastAsia" w:eastAsiaTheme="minorEastAsia"/>
          <w:color w:val="000000"/>
          <w:sz w:val="24"/>
        </w:rPr>
        <w:t>2.6 履约信用：投标人必须具有良好的社会信誉，最近两年内没有与骗取合同有关的犯罪或严重违法行为而引起的诉讼和仲裁；近两年不曾在合同中严重违约；财产未被接管或冻结，企业未处于禁止或取消投标状态。同时具有履行合同的能力和良好的履约记录。</w:t>
      </w:r>
    </w:p>
    <w:p>
      <w:pPr>
        <w:widowControl/>
        <w:spacing w:line="276" w:lineRule="auto"/>
        <w:ind w:firstLine="480" w:firstLineChars="200"/>
        <w:jc w:val="left"/>
        <w:rPr>
          <w:sz w:val="24"/>
        </w:rPr>
      </w:pPr>
      <w:r>
        <w:rPr>
          <w:rFonts w:hint="eastAsia" w:asciiTheme="minorEastAsia" w:hAnsiTheme="minorEastAsia" w:eastAsiaTheme="minorEastAsia"/>
          <w:color w:val="000000"/>
          <w:sz w:val="24"/>
        </w:rPr>
        <w:t>2.7 其他：代理商可以代理多个厂家的产品参与投标，生产厂不得与其授权的代理商在同一包件中投标；生产厂或代理商应具备跨地域供应、集散能力。</w:t>
      </w:r>
      <w:r>
        <w:br w:type="page"/>
      </w:r>
    </w:p>
    <w:tbl>
      <w:tblPr>
        <w:tblStyle w:val="39"/>
        <w:tblW w:w="8520" w:type="dxa"/>
        <w:tblInd w:w="93" w:type="dxa"/>
        <w:tblLayout w:type="fixed"/>
        <w:tblCellMar>
          <w:top w:w="0" w:type="dxa"/>
          <w:left w:w="0" w:type="dxa"/>
          <w:bottom w:w="0" w:type="dxa"/>
          <w:right w:w="0" w:type="dxa"/>
        </w:tblCellMar>
      </w:tblPr>
      <w:tblGrid>
        <w:gridCol w:w="1575"/>
        <w:gridCol w:w="2976"/>
        <w:gridCol w:w="1560"/>
        <w:gridCol w:w="2409"/>
      </w:tblGrid>
      <w:tr>
        <w:tblPrEx>
          <w:tblLayout w:type="fixed"/>
          <w:tblCellMar>
            <w:top w:w="0" w:type="dxa"/>
            <w:left w:w="0" w:type="dxa"/>
            <w:bottom w:w="0" w:type="dxa"/>
            <w:right w:w="0" w:type="dxa"/>
          </w:tblCellMar>
        </w:tblPrEx>
        <w:trPr>
          <w:trHeight w:val="304" w:hRule="atLeast"/>
        </w:trPr>
        <w:tc>
          <w:tcPr>
            <w:tcW w:w="8520" w:type="dxa"/>
            <w:gridSpan w:val="4"/>
            <w:tcBorders>
              <w:top w:val="nil"/>
              <w:left w:val="nil"/>
              <w:bottom w:val="nil"/>
              <w:right w:val="nil"/>
            </w:tcBorders>
            <w:shd w:val="clear" w:color="auto" w:fill="auto"/>
            <w:tcMar>
              <w:top w:w="0" w:type="dxa"/>
              <w:left w:w="108" w:type="dxa"/>
              <w:bottom w:w="0" w:type="dxa"/>
              <w:right w:w="108" w:type="dxa"/>
            </w:tcMar>
            <w:vAlign w:val="center"/>
          </w:tcPr>
          <w:p>
            <w:pPr>
              <w:pStyle w:val="3"/>
              <w:spacing w:before="0" w:after="0" w:line="0" w:lineRule="atLeast"/>
              <w:rPr>
                <w:rFonts w:cs="宋体" w:asciiTheme="minorEastAsia" w:hAnsiTheme="minorEastAsia" w:eastAsiaTheme="minorEastAsia"/>
                <w:b w:val="0"/>
                <w:color w:val="636363"/>
                <w:kern w:val="0"/>
                <w:sz w:val="24"/>
              </w:rPr>
            </w:pPr>
            <w:r>
              <w:rPr>
                <w:rFonts w:hint="eastAsia" w:asciiTheme="minorEastAsia" w:hAnsiTheme="minorEastAsia" w:eastAsiaTheme="minorEastAsia"/>
                <w:sz w:val="24"/>
                <w:szCs w:val="24"/>
              </w:rPr>
              <w:br w:type="page"/>
            </w:r>
            <w:bookmarkStart w:id="27" w:name="_Toc440491921"/>
            <w:bookmarkStart w:id="28" w:name="_Toc8720"/>
            <w:r>
              <w:rPr>
                <w:rFonts w:hint="eastAsia" w:asciiTheme="minorEastAsia" w:hAnsiTheme="minorEastAsia" w:eastAsiaTheme="minorEastAsia"/>
                <w:sz w:val="24"/>
                <w:szCs w:val="24"/>
              </w:rPr>
              <w:t>附表2</w:t>
            </w:r>
            <w:bookmarkEnd w:id="27"/>
            <w:bookmarkEnd w:id="28"/>
          </w:p>
        </w:tc>
      </w:tr>
      <w:tr>
        <w:tblPrEx>
          <w:tblLayout w:type="fixed"/>
          <w:tblCellMar>
            <w:top w:w="0" w:type="dxa"/>
            <w:left w:w="0" w:type="dxa"/>
            <w:bottom w:w="0" w:type="dxa"/>
            <w:right w:w="0" w:type="dxa"/>
          </w:tblCellMar>
        </w:tblPrEx>
        <w:trPr>
          <w:trHeight w:val="707" w:hRule="atLeast"/>
        </w:trPr>
        <w:tc>
          <w:tcPr>
            <w:tcW w:w="8520" w:type="dxa"/>
            <w:gridSpan w:val="4"/>
            <w:tcBorders>
              <w:top w:val="nil"/>
              <w:left w:val="nil"/>
              <w:bottom w:val="nil"/>
              <w:right w:val="nil"/>
            </w:tcBorders>
            <w:shd w:val="clear" w:color="auto" w:fill="auto"/>
            <w:tcMar>
              <w:top w:w="0" w:type="dxa"/>
              <w:left w:w="108" w:type="dxa"/>
              <w:bottom w:w="0" w:type="dxa"/>
              <w:right w:w="108" w:type="dxa"/>
            </w:tcMar>
            <w:vAlign w:val="center"/>
          </w:tcPr>
          <w:p>
            <w:pPr>
              <w:keepNext/>
              <w:keepLines/>
              <w:jc w:val="center"/>
              <w:rPr>
                <w:rFonts w:asciiTheme="minorEastAsia" w:hAnsiTheme="minorEastAsia" w:eastAsiaTheme="minorEastAsia"/>
                <w:color w:val="000000"/>
                <w:sz w:val="24"/>
              </w:rPr>
            </w:pPr>
            <w:bookmarkStart w:id="29" w:name="_Toc440491922"/>
            <w:r>
              <w:rPr>
                <w:rFonts w:hint="eastAsia" w:ascii="宋体" w:hAnsi="宋体" w:cs="宋体"/>
                <w:sz w:val="28"/>
                <w:szCs w:val="28"/>
              </w:rPr>
              <w:t>投标申请表</w:t>
            </w:r>
            <w:bookmarkEnd w:id="29"/>
          </w:p>
        </w:tc>
      </w:tr>
      <w:tr>
        <w:tblPrEx>
          <w:tblLayout w:type="fixed"/>
          <w:tblCellMar>
            <w:top w:w="0" w:type="dxa"/>
            <w:left w:w="0" w:type="dxa"/>
            <w:bottom w:w="0" w:type="dxa"/>
            <w:right w:w="0" w:type="dxa"/>
          </w:tblCellMar>
        </w:tblPrEx>
        <w:trPr>
          <w:trHeight w:val="1125" w:hRule="atLeast"/>
        </w:trPr>
        <w:tc>
          <w:tcPr>
            <w:tcW w:w="1575" w:type="dxa"/>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招标项目名称</w:t>
            </w:r>
          </w:p>
        </w:tc>
        <w:tc>
          <w:tcPr>
            <w:tcW w:w="2976"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物资</w:t>
            </w:r>
            <w:r>
              <w:rPr>
                <w:rFonts w:hint="eastAsia" w:ascii="ˎ̥" w:hAnsi="ˎ̥" w:cs="宋体"/>
                <w:b/>
                <w:bCs/>
                <w:color w:val="636363"/>
                <w:kern w:val="0"/>
                <w:sz w:val="20"/>
                <w:szCs w:val="20"/>
              </w:rPr>
              <w:t>种类</w:t>
            </w:r>
          </w:p>
        </w:tc>
        <w:tc>
          <w:tcPr>
            <w:tcW w:w="2409"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125"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招标编号</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招标文件</w:t>
            </w:r>
            <w:r>
              <w:rPr>
                <w:rFonts w:hint="eastAsia" w:ascii="ˎ̥" w:hAnsi="ˎ̥" w:cs="宋体"/>
                <w:b/>
                <w:bCs/>
                <w:color w:val="636363"/>
                <w:kern w:val="0"/>
                <w:sz w:val="20"/>
                <w:szCs w:val="20"/>
              </w:rPr>
              <w:t xml:space="preserve">    </w:t>
            </w:r>
            <w:r>
              <w:rPr>
                <w:rFonts w:ascii="ˎ̥" w:hAnsi="ˎ̥" w:cs="宋体"/>
                <w:b/>
                <w:bCs/>
                <w:color w:val="636363"/>
                <w:kern w:val="0"/>
                <w:sz w:val="20"/>
                <w:szCs w:val="20"/>
              </w:rPr>
              <w:t>包件号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106"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投标人单位名称：</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（填写单位</w:t>
            </w:r>
            <w:r>
              <w:rPr>
                <w:rFonts w:hint="eastAsia" w:ascii="ˎ̥" w:hAnsi="ˎ̥" w:cs="宋体"/>
                <w:b/>
                <w:bCs/>
                <w:color w:val="636363"/>
                <w:kern w:val="0"/>
                <w:sz w:val="20"/>
                <w:szCs w:val="20"/>
              </w:rPr>
              <w:t>全</w:t>
            </w:r>
            <w:r>
              <w:rPr>
                <w:rFonts w:ascii="ˎ̥" w:hAnsi="ˎ̥" w:cs="宋体"/>
                <w:b/>
                <w:bCs/>
                <w:color w:val="636363"/>
                <w:kern w:val="0"/>
                <w:sz w:val="20"/>
                <w:szCs w:val="20"/>
              </w:rPr>
              <w:t>称） （盖单位公章）</w:t>
            </w: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法定代表人</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身份证号</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联系电话</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传真电话</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7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电子邮箱</w:t>
            </w:r>
          </w:p>
        </w:tc>
        <w:tc>
          <w:tcPr>
            <w:tcW w:w="2976"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156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邮编</w:t>
            </w:r>
          </w:p>
        </w:tc>
        <w:tc>
          <w:tcPr>
            <w:tcW w:w="240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851"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单位地址</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1260"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声明</w:t>
            </w:r>
          </w:p>
        </w:tc>
        <w:tc>
          <w:tcPr>
            <w:tcW w:w="6945" w:type="dxa"/>
            <w:gridSpan w:val="3"/>
            <w:tcBorders>
              <w:top w:val="nil"/>
              <w:left w:val="nil"/>
              <w:bottom w:val="nil"/>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ind w:firstLine="402" w:firstLineChars="200"/>
              <w:jc w:val="left"/>
              <w:rPr>
                <w:rFonts w:hint="eastAsia" w:ascii="ˎ̥" w:hAnsi="ˎ̥" w:cs="宋体"/>
                <w:b/>
                <w:bCs/>
                <w:color w:val="636363"/>
                <w:kern w:val="0"/>
                <w:sz w:val="20"/>
                <w:szCs w:val="20"/>
              </w:rPr>
            </w:pPr>
            <w:r>
              <w:rPr>
                <w:rFonts w:ascii="ˎ̥" w:hAnsi="ˎ̥" w:cs="宋体"/>
                <w:b/>
                <w:bCs/>
                <w:color w:val="636363"/>
                <w:kern w:val="0"/>
                <w:sz w:val="20"/>
                <w:szCs w:val="20"/>
              </w:rPr>
              <w:t>招标文件为我公司自愿购买，如我公司资格条件不符合本项目投标人资格要求，相关责任由我公司自行承担。</w:t>
            </w:r>
          </w:p>
        </w:tc>
      </w:tr>
      <w:tr>
        <w:tblPrEx>
          <w:tblLayout w:type="fixed"/>
          <w:tblCellMar>
            <w:top w:w="0" w:type="dxa"/>
            <w:left w:w="0" w:type="dxa"/>
            <w:bottom w:w="0" w:type="dxa"/>
            <w:right w:w="0" w:type="dxa"/>
          </w:tblCellMar>
        </w:tblPrEx>
        <w:trPr>
          <w:trHeight w:val="510" w:hRule="atLeast"/>
        </w:trPr>
        <w:tc>
          <w:tcPr>
            <w:tcW w:w="1575" w:type="dxa"/>
            <w:vMerge w:val="restart"/>
            <w:tcBorders>
              <w:top w:val="nil"/>
              <w:left w:val="single" w:color="auto" w:sz="8" w:space="0"/>
              <w:bottom w:val="single" w:color="auto" w:sz="8" w:space="0"/>
              <w:right w:val="nil"/>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法人委托人</w:t>
            </w:r>
          </w:p>
        </w:tc>
        <w:tc>
          <w:tcPr>
            <w:tcW w:w="6945" w:type="dxa"/>
            <w:gridSpan w:val="3"/>
            <w:tcBorders>
              <w:top w:val="single" w:color="auto" w:sz="8" w:space="0"/>
              <w:left w:val="single" w:color="auto" w:sz="8" w:space="0"/>
              <w:bottom w:val="nil"/>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r>
        <w:tblPrEx>
          <w:tblLayout w:type="fixed"/>
          <w:tblCellMar>
            <w:top w:w="0" w:type="dxa"/>
            <w:left w:w="0" w:type="dxa"/>
            <w:bottom w:w="0" w:type="dxa"/>
            <w:right w:w="0" w:type="dxa"/>
          </w:tblCellMar>
        </w:tblPrEx>
        <w:trPr>
          <w:trHeight w:val="570" w:hRule="atLeast"/>
        </w:trPr>
        <w:tc>
          <w:tcPr>
            <w:tcW w:w="1575" w:type="dxa"/>
            <w:vMerge w:val="continue"/>
            <w:tcBorders>
              <w:top w:val="nil"/>
              <w:left w:val="single" w:color="auto" w:sz="8" w:space="0"/>
              <w:bottom w:val="single" w:color="auto" w:sz="8" w:space="0"/>
              <w:right w:val="nil"/>
            </w:tcBorders>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c>
          <w:tcPr>
            <w:tcW w:w="6945" w:type="dxa"/>
            <w:gridSpan w:val="3"/>
            <w:tcBorders>
              <w:top w:val="nil"/>
              <w:left w:val="single" w:color="auto" w:sz="8" w:space="0"/>
              <w:bottom w:val="single" w:color="auto" w:sz="8" w:space="0"/>
              <w:right w:val="single" w:color="000000" w:sz="8" w:space="0"/>
            </w:tcBorders>
            <w:shd w:val="clear" w:color="auto" w:fill="auto"/>
            <w:tcMar>
              <w:top w:w="0" w:type="dxa"/>
              <w:left w:w="108" w:type="dxa"/>
              <w:bottom w:w="0" w:type="dxa"/>
              <w:right w:w="108" w:type="dxa"/>
            </w:tcMar>
            <w:vAlign w:val="center"/>
          </w:tcPr>
          <w:p>
            <w:pPr>
              <w:widowControl/>
              <w:wordWrap w:val="0"/>
              <w:spacing w:before="100" w:beforeAutospacing="1" w:after="100" w:afterAutospacing="1" w:line="300" w:lineRule="atLeast"/>
              <w:jc w:val="right"/>
              <w:rPr>
                <w:rFonts w:hint="eastAsia" w:ascii="ˎ̥" w:hAnsi="ˎ̥" w:cs="宋体"/>
                <w:b/>
                <w:bCs/>
                <w:color w:val="636363"/>
                <w:kern w:val="0"/>
                <w:sz w:val="20"/>
                <w:szCs w:val="20"/>
              </w:rPr>
            </w:pPr>
            <w:r>
              <w:rPr>
                <w:rFonts w:ascii="ˎ̥" w:hAnsi="ˎ̥" w:cs="宋体"/>
                <w:b/>
                <w:bCs/>
                <w:color w:val="636363"/>
                <w:kern w:val="0"/>
                <w:sz w:val="20"/>
                <w:szCs w:val="20"/>
              </w:rPr>
              <w:t>年</w:t>
            </w:r>
            <w:r>
              <w:rPr>
                <w:rFonts w:hint="eastAsia" w:ascii="ˎ̥" w:hAnsi="ˎ̥" w:cs="宋体"/>
                <w:b/>
                <w:bCs/>
                <w:color w:val="636363"/>
                <w:kern w:val="0"/>
                <w:sz w:val="20"/>
                <w:szCs w:val="20"/>
              </w:rPr>
              <w:t xml:space="preserve">  </w:t>
            </w:r>
            <w:r>
              <w:rPr>
                <w:rFonts w:ascii="ˎ̥" w:hAnsi="ˎ̥" w:cs="宋体"/>
                <w:b/>
                <w:bCs/>
                <w:color w:val="636363"/>
                <w:kern w:val="0"/>
                <w:sz w:val="20"/>
                <w:szCs w:val="20"/>
              </w:rPr>
              <w:t>月</w:t>
            </w:r>
            <w:r>
              <w:rPr>
                <w:rFonts w:hint="eastAsia" w:ascii="ˎ̥" w:hAnsi="ˎ̥" w:cs="宋体"/>
                <w:b/>
                <w:bCs/>
                <w:color w:val="636363"/>
                <w:kern w:val="0"/>
                <w:sz w:val="20"/>
                <w:szCs w:val="20"/>
              </w:rPr>
              <w:t xml:space="preserve">  </w:t>
            </w:r>
            <w:r>
              <w:rPr>
                <w:rFonts w:ascii="ˎ̥" w:hAnsi="ˎ̥" w:cs="宋体"/>
                <w:b/>
                <w:bCs/>
                <w:color w:val="636363"/>
                <w:kern w:val="0"/>
                <w:sz w:val="20"/>
                <w:szCs w:val="20"/>
              </w:rPr>
              <w:t>日</w:t>
            </w:r>
          </w:p>
        </w:tc>
      </w:tr>
      <w:tr>
        <w:tblPrEx>
          <w:tblLayout w:type="fixed"/>
          <w:tblCellMar>
            <w:top w:w="0" w:type="dxa"/>
            <w:left w:w="0" w:type="dxa"/>
            <w:bottom w:w="0" w:type="dxa"/>
            <w:right w:w="0" w:type="dxa"/>
          </w:tblCellMar>
        </w:tblPrEx>
        <w:trPr>
          <w:trHeight w:val="975" w:hRule="atLeast"/>
        </w:trPr>
        <w:tc>
          <w:tcPr>
            <w:tcW w:w="1575"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r>
              <w:rPr>
                <w:rFonts w:ascii="ˎ̥" w:hAnsi="ˎ̥" w:cs="宋体"/>
                <w:b/>
                <w:bCs/>
                <w:color w:val="636363"/>
                <w:kern w:val="0"/>
                <w:sz w:val="20"/>
                <w:szCs w:val="20"/>
              </w:rPr>
              <w:t>备注</w:t>
            </w:r>
          </w:p>
        </w:tc>
        <w:tc>
          <w:tcPr>
            <w:tcW w:w="6945" w:type="dxa"/>
            <w:gridSpan w:val="3"/>
            <w:tcBorders>
              <w:top w:val="nil"/>
              <w:left w:val="nil"/>
              <w:bottom w:val="single" w:color="auto" w:sz="8" w:space="0"/>
              <w:right w:val="single" w:color="000000" w:sz="8" w:space="0"/>
            </w:tcBorders>
            <w:shd w:val="clear" w:color="auto" w:fill="auto"/>
            <w:tcMar>
              <w:top w:w="0" w:type="dxa"/>
              <w:left w:w="108" w:type="dxa"/>
              <w:bottom w:w="0" w:type="dxa"/>
              <w:right w:w="108" w:type="dxa"/>
            </w:tcMar>
            <w:vAlign w:val="center"/>
          </w:tcPr>
          <w:p>
            <w:pPr>
              <w:widowControl/>
              <w:spacing w:before="100" w:beforeAutospacing="1" w:after="100" w:afterAutospacing="1" w:line="300" w:lineRule="atLeast"/>
              <w:jc w:val="center"/>
              <w:rPr>
                <w:rFonts w:hint="eastAsia" w:ascii="ˎ̥" w:hAnsi="ˎ̥" w:cs="宋体"/>
                <w:b/>
                <w:bCs/>
                <w:color w:val="636363"/>
                <w:kern w:val="0"/>
                <w:sz w:val="20"/>
                <w:szCs w:val="20"/>
              </w:rPr>
            </w:pPr>
          </w:p>
        </w:tc>
      </w:tr>
    </w:tbl>
    <w:p>
      <w:pPr>
        <w:spacing w:line="360" w:lineRule="exact"/>
        <w:rPr>
          <w:rFonts w:ascii="宋体" w:hAnsi="宋体"/>
        </w:rPr>
        <w:sectPr>
          <w:footerReference r:id="rId15" w:type="first"/>
          <w:headerReference r:id="rId13" w:type="default"/>
          <w:footerReference r:id="rId14" w:type="default"/>
          <w:pgSz w:w="11906" w:h="16838"/>
          <w:pgMar w:top="1417" w:right="1474" w:bottom="1417" w:left="1588" w:header="851" w:footer="850" w:gutter="0"/>
          <w:pgNumType w:start="1"/>
          <w:cols w:space="0" w:num="1"/>
          <w:titlePg/>
          <w:docGrid w:linePitch="312" w:charSpace="0"/>
        </w:sectPr>
      </w:pPr>
    </w:p>
    <w:p>
      <w:pPr>
        <w:pStyle w:val="48"/>
        <w:tabs>
          <w:tab w:val="left" w:pos="993"/>
        </w:tabs>
        <w:spacing w:beforeLines="100" w:afterLines="100" w:line="300" w:lineRule="auto"/>
        <w:ind w:firstLine="0" w:firstLineChars="0"/>
        <w:jc w:val="center"/>
        <w:outlineLvl w:val="0"/>
        <w:rPr>
          <w:rFonts w:ascii="黑体" w:hAnsi="黑体" w:eastAsia="黑体" w:cs="宋体"/>
          <w:b/>
          <w:bCs/>
          <w:sz w:val="52"/>
          <w:szCs w:val="52"/>
          <w:lang w:val="zh-CN"/>
        </w:rPr>
      </w:pPr>
      <w:bookmarkStart w:id="30" w:name="_Toc238552193"/>
      <w:bookmarkStart w:id="31" w:name="_Toc144974495"/>
      <w:bookmarkStart w:id="32" w:name="_Toc366770083"/>
      <w:bookmarkStart w:id="33" w:name="_Toc436224114"/>
      <w:bookmarkStart w:id="34" w:name="_Toc238797548"/>
      <w:bookmarkStart w:id="35" w:name="_Toc440491923"/>
      <w:bookmarkStart w:id="36" w:name="_Toc331195429"/>
      <w:bookmarkStart w:id="37" w:name="_Toc363637981"/>
      <w:bookmarkStart w:id="38" w:name="_Toc321997829"/>
      <w:bookmarkStart w:id="39" w:name="_Toc152045527"/>
      <w:bookmarkStart w:id="40" w:name="_Toc26298"/>
      <w:bookmarkStart w:id="41" w:name="_Toc152042303"/>
      <w:r>
        <w:rPr>
          <w:rFonts w:hint="eastAsia" w:ascii="黑体" w:hAnsi="黑体" w:eastAsia="黑体" w:cs="宋体"/>
          <w:b/>
          <w:bCs/>
          <w:sz w:val="52"/>
          <w:szCs w:val="52"/>
          <w:lang w:val="zh-CN"/>
        </w:rPr>
        <w:t>第一部分</w:t>
      </w:r>
      <w:r>
        <w:rPr>
          <w:rFonts w:hint="eastAsia" w:ascii="黑体" w:hAnsi="黑体" w:eastAsia="黑体" w:cs="宋体"/>
          <w:b/>
          <w:bCs/>
          <w:sz w:val="52"/>
          <w:szCs w:val="52"/>
        </w:rPr>
        <w:t xml:space="preserve">  </w:t>
      </w:r>
      <w:r>
        <w:rPr>
          <w:rFonts w:hint="eastAsia" w:ascii="黑体" w:hAnsi="黑体" w:eastAsia="黑体" w:cs="宋体"/>
          <w:b/>
          <w:bCs/>
          <w:sz w:val="52"/>
          <w:szCs w:val="52"/>
          <w:lang w:val="zh-CN"/>
        </w:rPr>
        <w:t>投标人须知</w:t>
      </w:r>
      <w:bookmarkEnd w:id="30"/>
      <w:bookmarkEnd w:id="31"/>
      <w:bookmarkEnd w:id="32"/>
      <w:bookmarkEnd w:id="33"/>
      <w:bookmarkEnd w:id="34"/>
      <w:bookmarkEnd w:id="35"/>
      <w:bookmarkEnd w:id="36"/>
      <w:bookmarkEnd w:id="37"/>
      <w:bookmarkEnd w:id="38"/>
      <w:bookmarkEnd w:id="39"/>
      <w:bookmarkEnd w:id="40"/>
      <w:bookmarkEnd w:id="41"/>
      <w:bookmarkStart w:id="42" w:name="_Toc331195431"/>
      <w:bookmarkStart w:id="43" w:name="_Toc440491925"/>
      <w:bookmarkStart w:id="44" w:name="_Toc366770085"/>
      <w:bookmarkStart w:id="45" w:name="_Toc144974497"/>
      <w:bookmarkStart w:id="46" w:name="_Toc321997831"/>
      <w:bookmarkStart w:id="47" w:name="_Toc238552195"/>
      <w:bookmarkStart w:id="48" w:name="_Toc238797550"/>
      <w:bookmarkStart w:id="49" w:name="_Toc9168"/>
      <w:bookmarkStart w:id="50" w:name="_Toc363637983"/>
      <w:bookmarkStart w:id="51" w:name="_Toc306891579"/>
      <w:bookmarkStart w:id="52" w:name="_Toc152042305"/>
      <w:bookmarkStart w:id="53" w:name="_Toc152045529"/>
      <w:bookmarkStart w:id="54" w:name="_Toc436224116"/>
    </w:p>
    <w:p>
      <w:pPr>
        <w:pStyle w:val="48"/>
        <w:tabs>
          <w:tab w:val="left" w:pos="993"/>
        </w:tabs>
        <w:spacing w:beforeLines="100" w:afterLines="100" w:line="300" w:lineRule="auto"/>
        <w:ind w:firstLine="0" w:firstLineChars="0"/>
        <w:jc w:val="left"/>
        <w:outlineLvl w:val="0"/>
        <w:rPr>
          <w:rFonts w:ascii="宋体" w:hAnsi="宋体" w:cs="宋体"/>
          <w:b/>
          <w:bCs/>
          <w:sz w:val="28"/>
          <w:szCs w:val="28"/>
        </w:rPr>
      </w:pPr>
      <w:r>
        <w:rPr>
          <w:rFonts w:hint="eastAsia" w:ascii="宋体" w:hAnsi="宋体" w:cs="宋体"/>
          <w:b/>
          <w:bCs/>
          <w:sz w:val="28"/>
          <w:szCs w:val="28"/>
        </w:rPr>
        <w:t>一、总则</w:t>
      </w:r>
      <w:bookmarkEnd w:id="42"/>
      <w:bookmarkEnd w:id="43"/>
      <w:bookmarkEnd w:id="44"/>
      <w:bookmarkEnd w:id="45"/>
      <w:bookmarkEnd w:id="46"/>
      <w:bookmarkEnd w:id="47"/>
      <w:bookmarkEnd w:id="48"/>
      <w:bookmarkEnd w:id="49"/>
      <w:bookmarkEnd w:id="50"/>
      <w:bookmarkEnd w:id="51"/>
      <w:bookmarkEnd w:id="52"/>
      <w:bookmarkEnd w:id="53"/>
      <w:bookmarkEnd w:id="54"/>
    </w:p>
    <w:p>
      <w:pPr>
        <w:pStyle w:val="48"/>
        <w:tabs>
          <w:tab w:val="left" w:pos="851"/>
        </w:tabs>
        <w:spacing w:line="276" w:lineRule="auto"/>
        <w:ind w:left="425" w:firstLine="0" w:firstLineChars="0"/>
        <w:rPr>
          <w:rFonts w:asciiTheme="minorEastAsia" w:hAnsiTheme="minorEastAsia" w:eastAsiaTheme="minorEastAsia"/>
          <w:b/>
          <w:sz w:val="24"/>
        </w:rPr>
      </w:pPr>
      <w:bookmarkStart w:id="55" w:name="_Toc152042306"/>
      <w:bookmarkStart w:id="56" w:name="_Toc262740045"/>
      <w:bookmarkStart w:id="57" w:name="_Toc238797551"/>
      <w:bookmarkStart w:id="58" w:name="_Toc144974498"/>
      <w:bookmarkStart w:id="59" w:name="_Toc321997832"/>
      <w:bookmarkStart w:id="60" w:name="_Toc152045530"/>
      <w:bookmarkStart w:id="61" w:name="_Toc440491926"/>
      <w:bookmarkStart w:id="62" w:name="_Toc306891580"/>
      <w:bookmarkStart w:id="63" w:name="_Toc238552196"/>
      <w:r>
        <w:rPr>
          <w:rFonts w:hint="eastAsia" w:asciiTheme="minorEastAsia" w:hAnsiTheme="minorEastAsia" w:eastAsiaTheme="minorEastAsia"/>
          <w:b/>
          <w:sz w:val="24"/>
        </w:rPr>
        <w:t>1.项目概况</w:t>
      </w:r>
      <w:bookmarkEnd w:id="55"/>
      <w:bookmarkEnd w:id="56"/>
      <w:bookmarkEnd w:id="57"/>
      <w:bookmarkEnd w:id="58"/>
      <w:bookmarkEnd w:id="59"/>
      <w:bookmarkEnd w:id="60"/>
      <w:bookmarkEnd w:id="61"/>
      <w:bookmarkEnd w:id="62"/>
      <w:bookmarkEnd w:id="63"/>
    </w:p>
    <w:p>
      <w:pPr>
        <w:pStyle w:val="48"/>
        <w:tabs>
          <w:tab w:val="left" w:pos="851"/>
        </w:tabs>
        <w:spacing w:line="276" w:lineRule="auto"/>
        <w:ind w:left="425" w:firstLine="0" w:firstLineChars="0"/>
        <w:rPr>
          <w:rFonts w:asciiTheme="minorEastAsia" w:hAnsiTheme="minorEastAsia" w:eastAsiaTheme="minorEastAsia"/>
          <w:bCs/>
          <w:sz w:val="24"/>
        </w:rPr>
      </w:pPr>
      <w:r>
        <w:rPr>
          <w:rFonts w:hint="eastAsia" w:asciiTheme="minorEastAsia" w:hAnsiTheme="minorEastAsia" w:eastAsiaTheme="minorEastAsia"/>
          <w:bCs/>
          <w:sz w:val="24"/>
        </w:rPr>
        <w:t>详见招标公告</w:t>
      </w:r>
    </w:p>
    <w:p>
      <w:pPr>
        <w:pStyle w:val="48"/>
        <w:tabs>
          <w:tab w:val="left" w:pos="851"/>
        </w:tabs>
        <w:spacing w:line="276" w:lineRule="auto"/>
        <w:ind w:left="425" w:firstLine="0" w:firstLineChars="0"/>
        <w:rPr>
          <w:rFonts w:asciiTheme="minorEastAsia" w:hAnsiTheme="minorEastAsia" w:eastAsiaTheme="minorEastAsia"/>
          <w:b/>
          <w:sz w:val="24"/>
        </w:rPr>
      </w:pPr>
      <w:bookmarkStart w:id="64" w:name="_Toc152045532"/>
      <w:bookmarkStart w:id="65" w:name="_Toc152042308"/>
      <w:bookmarkStart w:id="66" w:name="_Toc262740047"/>
      <w:bookmarkStart w:id="67" w:name="_Toc238797553"/>
      <w:bookmarkStart w:id="68" w:name="_Toc440491928"/>
      <w:bookmarkStart w:id="69" w:name="_Toc144974500"/>
      <w:bookmarkStart w:id="70" w:name="_Toc306891582"/>
      <w:bookmarkStart w:id="71" w:name="_Toc321997834"/>
      <w:bookmarkStart w:id="72" w:name="_Toc238552198"/>
      <w:r>
        <w:rPr>
          <w:rFonts w:hint="eastAsia" w:asciiTheme="minorEastAsia" w:hAnsiTheme="minorEastAsia" w:eastAsiaTheme="minorEastAsia"/>
          <w:b/>
          <w:sz w:val="24"/>
        </w:rPr>
        <w:t>2.招标范围和内容</w:t>
      </w:r>
      <w:bookmarkEnd w:id="64"/>
      <w:bookmarkEnd w:id="65"/>
      <w:bookmarkEnd w:id="66"/>
      <w:bookmarkEnd w:id="67"/>
      <w:bookmarkEnd w:id="68"/>
      <w:bookmarkEnd w:id="69"/>
      <w:bookmarkEnd w:id="70"/>
      <w:bookmarkEnd w:id="71"/>
      <w:bookmarkEnd w:id="72"/>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2.1本次招标物资各包件的规格型号、数量、交货地点见招标公告附表1。</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2.2本次招标不允许拆包投标。</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2.3投标人中标后，不允许转包、非法分包。</w:t>
      </w:r>
    </w:p>
    <w:p>
      <w:pPr>
        <w:pStyle w:val="48"/>
        <w:tabs>
          <w:tab w:val="left" w:pos="851"/>
        </w:tabs>
        <w:spacing w:line="276" w:lineRule="auto"/>
        <w:ind w:left="425" w:firstLine="0" w:firstLineChars="0"/>
        <w:rPr>
          <w:rFonts w:asciiTheme="minorEastAsia" w:hAnsiTheme="minorEastAsia" w:eastAsiaTheme="minorEastAsia"/>
          <w:b/>
          <w:sz w:val="24"/>
        </w:rPr>
      </w:pPr>
      <w:bookmarkStart w:id="73" w:name="_Toc262740048"/>
      <w:bookmarkStart w:id="74" w:name="_Toc144974502"/>
      <w:bookmarkStart w:id="75" w:name="_Toc152042310"/>
      <w:bookmarkStart w:id="76" w:name="_Toc321997835"/>
      <w:bookmarkStart w:id="77" w:name="_Toc440491929"/>
      <w:bookmarkStart w:id="78" w:name="_Toc306891583"/>
      <w:bookmarkStart w:id="79" w:name="_Toc238552200"/>
      <w:bookmarkStart w:id="80" w:name="_Toc238797555"/>
      <w:bookmarkStart w:id="81" w:name="_Toc152045534"/>
      <w:r>
        <w:rPr>
          <w:rFonts w:hint="eastAsia" w:asciiTheme="minorEastAsia" w:hAnsiTheme="minorEastAsia" w:eastAsiaTheme="minorEastAsia"/>
          <w:b/>
          <w:sz w:val="24"/>
        </w:rPr>
        <w:t>3.投标人资格要求</w:t>
      </w:r>
      <w:bookmarkEnd w:id="73"/>
      <w:bookmarkEnd w:id="74"/>
      <w:bookmarkEnd w:id="75"/>
      <w:bookmarkEnd w:id="76"/>
      <w:bookmarkEnd w:id="77"/>
      <w:bookmarkEnd w:id="78"/>
      <w:bookmarkEnd w:id="79"/>
      <w:bookmarkEnd w:id="80"/>
      <w:bookmarkEnd w:id="81"/>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3.1投标人资格要求详见招标公告。</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3.2本次招标不接受联合体投标。</w:t>
      </w:r>
    </w:p>
    <w:p>
      <w:pPr>
        <w:pStyle w:val="48"/>
        <w:tabs>
          <w:tab w:val="left" w:pos="851"/>
        </w:tabs>
        <w:spacing w:line="276" w:lineRule="auto"/>
        <w:ind w:left="425" w:firstLine="0" w:firstLineChars="0"/>
        <w:rPr>
          <w:rFonts w:asciiTheme="minorEastAsia" w:hAnsiTheme="minorEastAsia" w:eastAsiaTheme="minorEastAsia"/>
          <w:b/>
          <w:sz w:val="24"/>
        </w:rPr>
      </w:pPr>
      <w:bookmarkStart w:id="82" w:name="_Toc152045535"/>
      <w:bookmarkStart w:id="83" w:name="_Toc144974503"/>
      <w:bookmarkStart w:id="84" w:name="_Toc152042311"/>
      <w:bookmarkStart w:id="85" w:name="_Toc306891584"/>
      <w:bookmarkStart w:id="86" w:name="_Toc238797556"/>
      <w:bookmarkStart w:id="87" w:name="_Toc321997836"/>
      <w:bookmarkStart w:id="88" w:name="_Toc238552201"/>
      <w:bookmarkStart w:id="89" w:name="_Toc262740049"/>
      <w:r>
        <w:rPr>
          <w:rFonts w:hint="eastAsia" w:asciiTheme="minorEastAsia" w:hAnsiTheme="minorEastAsia" w:eastAsiaTheme="minorEastAsia"/>
          <w:b/>
          <w:sz w:val="24"/>
        </w:rPr>
        <w:t>4.合格的物资及服务</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4.1投标人应提供符合招标文件要求且符合国内现行的有关技术标准的投标物资。</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4.2投标人应提供满足招标文件要求的运输、售后服务以及承担其他相关的义务。</w:t>
      </w:r>
    </w:p>
    <w:p>
      <w:pPr>
        <w:pStyle w:val="48"/>
        <w:tabs>
          <w:tab w:val="left" w:pos="851"/>
        </w:tabs>
        <w:spacing w:line="276" w:lineRule="auto"/>
        <w:ind w:left="425" w:firstLine="0" w:firstLineChars="0"/>
        <w:rPr>
          <w:rFonts w:asciiTheme="minorEastAsia" w:hAnsiTheme="minorEastAsia" w:eastAsiaTheme="minorEastAsia"/>
          <w:b/>
          <w:sz w:val="24"/>
        </w:rPr>
      </w:pPr>
      <w:bookmarkStart w:id="90" w:name="_Toc440491932"/>
      <w:r>
        <w:rPr>
          <w:rFonts w:hint="eastAsia" w:asciiTheme="minorEastAsia" w:hAnsiTheme="minorEastAsia" w:eastAsiaTheme="minorEastAsia"/>
          <w:b/>
          <w:sz w:val="24"/>
        </w:rPr>
        <w:t>5.费用承担</w:t>
      </w:r>
      <w:bookmarkEnd w:id="82"/>
      <w:bookmarkEnd w:id="83"/>
      <w:bookmarkEnd w:id="84"/>
      <w:bookmarkEnd w:id="85"/>
      <w:bookmarkEnd w:id="86"/>
      <w:bookmarkEnd w:id="87"/>
      <w:bookmarkEnd w:id="88"/>
      <w:bookmarkEnd w:id="89"/>
      <w:bookmarkEnd w:id="90"/>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投标人准备和参加投标活动发生的费用自理。</w:t>
      </w:r>
    </w:p>
    <w:p>
      <w:pPr>
        <w:pStyle w:val="48"/>
        <w:tabs>
          <w:tab w:val="left" w:pos="284"/>
        </w:tabs>
        <w:spacing w:beforeLines="100" w:line="276" w:lineRule="auto"/>
        <w:ind w:firstLine="0" w:firstLineChars="0"/>
        <w:outlineLvl w:val="1"/>
        <w:rPr>
          <w:rFonts w:ascii="宋体" w:hAnsi="宋体" w:cs="宋体"/>
          <w:b/>
          <w:bCs/>
          <w:sz w:val="28"/>
          <w:szCs w:val="28"/>
        </w:rPr>
      </w:pPr>
      <w:bookmarkStart w:id="91" w:name="_Toc238552209"/>
      <w:bookmarkStart w:id="92" w:name="_Toc331195432"/>
      <w:bookmarkStart w:id="93" w:name="_Toc366770086"/>
      <w:bookmarkStart w:id="94" w:name="_Toc440491937"/>
      <w:bookmarkStart w:id="95" w:name="_Toc321997842"/>
      <w:bookmarkStart w:id="96" w:name="_Toc152042318"/>
      <w:bookmarkStart w:id="97" w:name="_Toc30402"/>
      <w:bookmarkStart w:id="98" w:name="_Toc144974510"/>
      <w:bookmarkStart w:id="99" w:name="_Toc152045542"/>
      <w:bookmarkStart w:id="100" w:name="_Toc238797564"/>
      <w:bookmarkStart w:id="101" w:name="_Toc363637984"/>
      <w:bookmarkStart w:id="102" w:name="_Toc436224117"/>
      <w:r>
        <w:rPr>
          <w:rFonts w:hint="eastAsia" w:ascii="宋体" w:hAnsi="宋体" w:cs="宋体"/>
          <w:b/>
          <w:bCs/>
          <w:sz w:val="28"/>
          <w:szCs w:val="28"/>
        </w:rPr>
        <w:t>二、招标文件</w:t>
      </w:r>
      <w:bookmarkEnd w:id="91"/>
      <w:bookmarkEnd w:id="92"/>
      <w:bookmarkEnd w:id="93"/>
      <w:bookmarkEnd w:id="94"/>
      <w:bookmarkEnd w:id="95"/>
      <w:bookmarkEnd w:id="96"/>
      <w:bookmarkEnd w:id="97"/>
      <w:bookmarkEnd w:id="98"/>
      <w:bookmarkEnd w:id="99"/>
      <w:bookmarkEnd w:id="100"/>
      <w:bookmarkEnd w:id="101"/>
      <w:bookmarkEnd w:id="102"/>
    </w:p>
    <w:p>
      <w:pPr>
        <w:pStyle w:val="48"/>
        <w:tabs>
          <w:tab w:val="left" w:pos="851"/>
        </w:tabs>
        <w:spacing w:line="276" w:lineRule="auto"/>
        <w:ind w:left="425" w:firstLine="0" w:firstLineChars="0"/>
        <w:rPr>
          <w:rFonts w:asciiTheme="minorEastAsia" w:hAnsiTheme="minorEastAsia" w:eastAsiaTheme="minorEastAsia"/>
          <w:b/>
          <w:sz w:val="24"/>
        </w:rPr>
      </w:pPr>
      <w:bookmarkStart w:id="103" w:name="_Toc152042319"/>
      <w:bookmarkStart w:id="104" w:name="_Toc440491938"/>
      <w:bookmarkStart w:id="105" w:name="_Toc238552210"/>
      <w:bookmarkStart w:id="106" w:name="_Toc238797565"/>
      <w:bookmarkStart w:id="107" w:name="_Toc152045543"/>
      <w:bookmarkStart w:id="108" w:name="_Toc262740056"/>
      <w:bookmarkStart w:id="109" w:name="_Toc144974511"/>
      <w:bookmarkStart w:id="110" w:name="_Toc321997843"/>
      <w:bookmarkStart w:id="111" w:name="_Toc306891591"/>
      <w:r>
        <w:rPr>
          <w:rFonts w:hint="eastAsia" w:asciiTheme="minorEastAsia" w:hAnsiTheme="minorEastAsia" w:eastAsiaTheme="minorEastAsia"/>
          <w:b/>
          <w:sz w:val="24"/>
        </w:rPr>
        <w:t>6.招标文件的组成</w:t>
      </w:r>
      <w:bookmarkEnd w:id="103"/>
      <w:bookmarkEnd w:id="104"/>
      <w:bookmarkEnd w:id="105"/>
      <w:bookmarkEnd w:id="106"/>
      <w:bookmarkEnd w:id="107"/>
      <w:bookmarkEnd w:id="108"/>
      <w:bookmarkEnd w:id="109"/>
      <w:bookmarkEnd w:id="110"/>
      <w:bookmarkEnd w:id="111"/>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6.1招标文件由招标公告及以下文件组成：</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第一部分 投标人须知</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第二部分 物资需求一览表</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第三部分 技术规格书</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第四部分 合同文件</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第五部分 评标办法</w:t>
      </w:r>
    </w:p>
    <w:p>
      <w:pPr>
        <w:pStyle w:val="48"/>
        <w:tabs>
          <w:tab w:val="left" w:pos="1064"/>
        </w:tabs>
        <w:spacing w:line="276" w:lineRule="auto"/>
        <w:ind w:left="426" w:firstLine="0" w:firstLineChars="0"/>
        <w:rPr>
          <w:rFonts w:asciiTheme="minorEastAsia" w:hAnsiTheme="minorEastAsia" w:eastAsiaTheme="minorEastAsia"/>
          <w:color w:val="0000FF"/>
          <w:sz w:val="24"/>
        </w:rPr>
      </w:pPr>
      <w:r>
        <w:rPr>
          <w:rFonts w:hint="eastAsia" w:asciiTheme="minorEastAsia" w:hAnsiTheme="minorEastAsia" w:eastAsiaTheme="minorEastAsia"/>
          <w:color w:val="0000FF"/>
          <w:sz w:val="24"/>
        </w:rPr>
        <w:t>第六部分 投标文件格式</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6.2招标过程中，对招标文件所作的澄清、补遗等，均构成招标文件的组成部分。</w:t>
      </w:r>
    </w:p>
    <w:p>
      <w:pPr>
        <w:pStyle w:val="48"/>
        <w:tabs>
          <w:tab w:val="left" w:pos="851"/>
        </w:tabs>
        <w:spacing w:line="276" w:lineRule="auto"/>
        <w:ind w:left="425" w:firstLine="0" w:firstLineChars="0"/>
        <w:rPr>
          <w:rFonts w:asciiTheme="minorEastAsia" w:hAnsiTheme="minorEastAsia" w:eastAsiaTheme="minorEastAsia"/>
          <w:b/>
          <w:sz w:val="24"/>
        </w:rPr>
      </w:pPr>
      <w:bookmarkStart w:id="112" w:name="_Toc238797566"/>
      <w:bookmarkStart w:id="113" w:name="_Toc262740057"/>
      <w:bookmarkStart w:id="114" w:name="_Toc152042320"/>
      <w:bookmarkStart w:id="115" w:name="_Toc144974512"/>
      <w:bookmarkStart w:id="116" w:name="_Toc321997844"/>
      <w:bookmarkStart w:id="117" w:name="_Toc306891592"/>
      <w:bookmarkStart w:id="118" w:name="_Toc238552211"/>
      <w:bookmarkStart w:id="119" w:name="_Toc440491939"/>
      <w:bookmarkStart w:id="120" w:name="_Toc152045544"/>
      <w:r>
        <w:rPr>
          <w:rFonts w:hint="eastAsia" w:asciiTheme="minorEastAsia" w:hAnsiTheme="minorEastAsia" w:eastAsiaTheme="minorEastAsia"/>
          <w:b/>
          <w:sz w:val="24"/>
        </w:rPr>
        <w:t>7.招标文件的</w:t>
      </w:r>
      <w:bookmarkEnd w:id="112"/>
      <w:bookmarkEnd w:id="113"/>
      <w:bookmarkEnd w:id="114"/>
      <w:bookmarkEnd w:id="115"/>
      <w:bookmarkEnd w:id="116"/>
      <w:bookmarkEnd w:id="117"/>
      <w:bookmarkEnd w:id="118"/>
      <w:bookmarkEnd w:id="119"/>
      <w:bookmarkEnd w:id="120"/>
      <w:r>
        <w:rPr>
          <w:rFonts w:hint="eastAsia" w:asciiTheme="minorEastAsia" w:hAnsiTheme="minorEastAsia" w:eastAsiaTheme="minorEastAsia"/>
          <w:b/>
          <w:sz w:val="24"/>
        </w:rPr>
        <w:t>澄清和补遗</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7.1投标人应仔细阅读和检查招标文件的全部内容。如发现缺页或附件不全，应及时向招标人提出，以便补齐。</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7.2投标人对招标文件提出的异议应不迟于开标日期前</w:t>
      </w:r>
      <w:r>
        <w:rPr>
          <w:rFonts w:hint="eastAsia" w:asciiTheme="minorEastAsia" w:hAnsiTheme="minorEastAsia" w:eastAsiaTheme="minorEastAsia"/>
          <w:color w:val="FF0000"/>
          <w:sz w:val="24"/>
          <w:u w:val="single"/>
        </w:rPr>
        <w:t>3</w:t>
      </w:r>
      <w:r>
        <w:rPr>
          <w:rFonts w:hint="eastAsia" w:asciiTheme="minorEastAsia" w:hAnsiTheme="minorEastAsia" w:eastAsiaTheme="minorEastAsia"/>
          <w:sz w:val="24"/>
        </w:rPr>
        <w:t>天（过期招标人将不受理）按本招标公告上写明的联系方式，以书面形式并加盖公章传真至招标人，同时将电子文档发送至招标人。</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7.3招标人对招标文件的补遗或答疑，将在开标日期前</w:t>
      </w:r>
      <w:r>
        <w:rPr>
          <w:rFonts w:hint="eastAsia" w:asciiTheme="minorEastAsia" w:hAnsiTheme="minorEastAsia" w:eastAsiaTheme="minorEastAsia"/>
          <w:color w:val="FF0000"/>
          <w:sz w:val="24"/>
          <w:u w:val="single"/>
        </w:rPr>
        <w:t>2</w:t>
      </w:r>
      <w:r>
        <w:rPr>
          <w:rFonts w:hint="eastAsia" w:asciiTheme="minorEastAsia" w:hAnsiTheme="minorEastAsia" w:eastAsiaTheme="minorEastAsia"/>
          <w:sz w:val="24"/>
        </w:rPr>
        <w:t>天以电话或书面传真方式通知所有投标人。投标人接到通知后应在24小时内书面确认。对于投标人未及时了解补遗或答疑信息，造成投标人投标错误，招标人不负任何责任。</w:t>
      </w:r>
    </w:p>
    <w:p>
      <w:pPr>
        <w:pStyle w:val="48"/>
        <w:tabs>
          <w:tab w:val="left" w:pos="851"/>
        </w:tabs>
        <w:spacing w:line="276" w:lineRule="auto"/>
        <w:ind w:left="425" w:firstLine="0" w:firstLineChars="0"/>
        <w:rPr>
          <w:rFonts w:asciiTheme="minorEastAsia" w:hAnsiTheme="minorEastAsia" w:eastAsiaTheme="minorEastAsia"/>
          <w:b/>
          <w:sz w:val="24"/>
        </w:rPr>
      </w:pPr>
      <w:bookmarkStart w:id="121" w:name="_Toc152042321"/>
      <w:bookmarkStart w:id="122" w:name="_Toc238797567"/>
      <w:bookmarkStart w:id="123" w:name="_Toc238552212"/>
      <w:bookmarkStart w:id="124" w:name="_Toc152045545"/>
      <w:bookmarkStart w:id="125" w:name="_Toc144974513"/>
      <w:bookmarkStart w:id="126" w:name="_Toc262740058"/>
      <w:bookmarkStart w:id="127" w:name="_Toc321997845"/>
      <w:bookmarkStart w:id="128" w:name="_Toc440491940"/>
      <w:bookmarkStart w:id="129" w:name="_Toc306891593"/>
      <w:r>
        <w:rPr>
          <w:rFonts w:hint="eastAsia" w:asciiTheme="minorEastAsia" w:hAnsiTheme="minorEastAsia" w:eastAsiaTheme="minorEastAsia"/>
          <w:b/>
          <w:sz w:val="24"/>
        </w:rPr>
        <w:t>8.招标文件的修改</w:t>
      </w:r>
      <w:bookmarkEnd w:id="121"/>
      <w:bookmarkEnd w:id="122"/>
      <w:bookmarkEnd w:id="123"/>
      <w:bookmarkEnd w:id="124"/>
      <w:bookmarkEnd w:id="125"/>
      <w:bookmarkEnd w:id="126"/>
      <w:bookmarkEnd w:id="127"/>
      <w:bookmarkEnd w:id="128"/>
      <w:bookmarkEnd w:id="129"/>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8.1招标人在开标日期前无论何故，可无条件地以补遗形式修改招标文件，并在招标公告指定的平台发布公告。</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8.2招标人所做的一切有效的通知、补遗和答疑等都将作为招标文件不可分割的部分。</w:t>
      </w:r>
    </w:p>
    <w:p>
      <w:pPr>
        <w:pStyle w:val="48"/>
        <w:tabs>
          <w:tab w:val="left" w:pos="284"/>
        </w:tabs>
        <w:spacing w:beforeLines="100" w:line="276" w:lineRule="auto"/>
        <w:ind w:firstLine="0" w:firstLineChars="0"/>
        <w:outlineLvl w:val="1"/>
        <w:rPr>
          <w:rFonts w:ascii="宋体" w:hAnsi="宋体" w:cs="宋体"/>
          <w:b/>
          <w:bCs/>
          <w:sz w:val="28"/>
          <w:szCs w:val="28"/>
        </w:rPr>
      </w:pPr>
      <w:bookmarkStart w:id="130" w:name="_Toc321997846"/>
      <w:bookmarkStart w:id="131" w:name="_Toc436224118"/>
      <w:bookmarkStart w:id="132" w:name="_Toc440491941"/>
      <w:bookmarkStart w:id="133" w:name="_Toc363637985"/>
      <w:bookmarkStart w:id="134" w:name="_Toc7424"/>
      <w:bookmarkStart w:id="135" w:name="_Toc152045546"/>
      <w:bookmarkStart w:id="136" w:name="_Toc331195433"/>
      <w:bookmarkStart w:id="137" w:name="_Toc152042322"/>
      <w:bookmarkStart w:id="138" w:name="_Toc238797568"/>
      <w:bookmarkStart w:id="139" w:name="_Toc238552213"/>
      <w:bookmarkStart w:id="140" w:name="_Toc366770087"/>
      <w:bookmarkStart w:id="141" w:name="_Toc144974514"/>
      <w:r>
        <w:rPr>
          <w:rFonts w:hint="eastAsia" w:ascii="宋体" w:hAnsi="宋体" w:cs="宋体"/>
          <w:b/>
          <w:bCs/>
          <w:sz w:val="28"/>
          <w:szCs w:val="28"/>
        </w:rPr>
        <w:t>三、投标文件</w:t>
      </w:r>
      <w:bookmarkEnd w:id="130"/>
      <w:bookmarkEnd w:id="131"/>
      <w:bookmarkEnd w:id="132"/>
      <w:bookmarkEnd w:id="133"/>
      <w:bookmarkEnd w:id="134"/>
      <w:bookmarkEnd w:id="135"/>
      <w:bookmarkEnd w:id="136"/>
      <w:bookmarkEnd w:id="137"/>
      <w:bookmarkEnd w:id="138"/>
      <w:bookmarkEnd w:id="139"/>
      <w:bookmarkEnd w:id="140"/>
      <w:bookmarkEnd w:id="141"/>
    </w:p>
    <w:p>
      <w:pPr>
        <w:pStyle w:val="48"/>
        <w:tabs>
          <w:tab w:val="left" w:pos="851"/>
        </w:tabs>
        <w:spacing w:line="276" w:lineRule="auto"/>
        <w:ind w:left="425" w:firstLine="0" w:firstLineChars="0"/>
        <w:rPr>
          <w:rFonts w:asciiTheme="minorEastAsia" w:hAnsiTheme="minorEastAsia" w:eastAsiaTheme="minorEastAsia"/>
          <w:b/>
          <w:sz w:val="24"/>
        </w:rPr>
      </w:pPr>
      <w:r>
        <w:rPr>
          <w:rFonts w:hint="eastAsia" w:asciiTheme="minorEastAsia" w:hAnsiTheme="minorEastAsia" w:eastAsiaTheme="minorEastAsia"/>
          <w:b/>
          <w:sz w:val="24"/>
        </w:rPr>
        <w:t>9.投标人须按照以下顺序编制投标文件并建立目录：</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9.1投标函（附录1）；</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9.2投标保证金银行转账凭证（复印件）；</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9.3</w:t>
      </w:r>
      <w:r>
        <w:rPr>
          <w:rFonts w:hint="eastAsia" w:asciiTheme="minorEastAsia" w:hAnsiTheme="minorEastAsia" w:eastAsiaTheme="minorEastAsia"/>
          <w:color w:val="000000"/>
          <w:sz w:val="24"/>
        </w:rPr>
        <w:t>营业执照（未三证合一还将提供税务登记证、组织机构代码证）复印件</w:t>
      </w:r>
      <w:r>
        <w:rPr>
          <w:rFonts w:hint="eastAsia" w:asciiTheme="minorEastAsia" w:hAnsiTheme="minorEastAsia" w:eastAsiaTheme="minorEastAsia"/>
          <w:sz w:val="24"/>
        </w:rPr>
        <w:t>；</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9.4法定代表人身份证明（附录2）；</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9.5法定代表人身份证（复印件）；</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9.6法定代表人授权委托书（附录3）；</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9.7资格审查资料（附录4）；</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9.8投标物资报价表（附录5）；</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9.9投标物资描述表（附录6）；</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9.10业绩证明资料（复印件）；</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9.11投标人认为需要补充的其他文件或资料。</w:t>
      </w:r>
    </w:p>
    <w:p>
      <w:pPr>
        <w:pStyle w:val="48"/>
        <w:tabs>
          <w:tab w:val="left" w:pos="851"/>
        </w:tabs>
        <w:spacing w:line="276" w:lineRule="auto"/>
        <w:ind w:left="425" w:firstLine="0" w:firstLineChars="0"/>
        <w:rPr>
          <w:rFonts w:asciiTheme="minorEastAsia" w:hAnsiTheme="minorEastAsia" w:eastAsiaTheme="minorEastAsia"/>
          <w:b/>
          <w:sz w:val="24"/>
        </w:rPr>
      </w:pPr>
      <w:bookmarkStart w:id="142" w:name="_Toc144974515"/>
      <w:bookmarkStart w:id="143" w:name="_Toc152042323"/>
      <w:bookmarkStart w:id="144" w:name="_Toc262740060"/>
      <w:bookmarkStart w:id="145" w:name="_Toc321997847"/>
      <w:bookmarkStart w:id="146" w:name="_Toc238797569"/>
      <w:bookmarkStart w:id="147" w:name="_Toc306891595"/>
      <w:bookmarkStart w:id="148" w:name="_Toc238552214"/>
      <w:bookmarkStart w:id="149" w:name="_Toc440491942"/>
      <w:bookmarkStart w:id="150" w:name="_Toc152045547"/>
      <w:r>
        <w:rPr>
          <w:rFonts w:hint="eastAsia" w:asciiTheme="minorEastAsia" w:hAnsiTheme="minorEastAsia" w:eastAsiaTheme="minorEastAsia"/>
          <w:b/>
          <w:sz w:val="24"/>
        </w:rPr>
        <w:t>10.投标文件的</w:t>
      </w:r>
      <w:bookmarkEnd w:id="142"/>
      <w:bookmarkEnd w:id="143"/>
      <w:bookmarkEnd w:id="144"/>
      <w:bookmarkEnd w:id="145"/>
      <w:bookmarkEnd w:id="146"/>
      <w:bookmarkEnd w:id="147"/>
      <w:bookmarkEnd w:id="148"/>
      <w:bookmarkEnd w:id="149"/>
      <w:bookmarkEnd w:id="150"/>
      <w:r>
        <w:rPr>
          <w:rFonts w:hint="eastAsia" w:asciiTheme="minorEastAsia" w:hAnsiTheme="minorEastAsia" w:eastAsiaTheme="minorEastAsia"/>
          <w:b/>
          <w:sz w:val="24"/>
        </w:rPr>
        <w:t>装订、版式及文字</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10.1投标文件装订要整齐坚固，不得用活页装订，否则投标文件将被拒绝。</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10.2投标文件的版式用A4纸（附图、附表除外），文字用中文简体。所有文字、图表必须清晰可辨。</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10.3投标文件应印制，按连续页码顺序装订，由投标人的法定代表人或其被授权人签字并盖单位公章（鲜章）。</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10.4投标文件原则上不应有涂抹等修改。如确需修改，修改处应由法定代表人或被授权人签字并盖单位公章确认。</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10.5每个包件均应单独编制投标文件。</w:t>
      </w:r>
    </w:p>
    <w:p>
      <w:pPr>
        <w:pStyle w:val="48"/>
        <w:tabs>
          <w:tab w:val="left" w:pos="1064"/>
        </w:tabs>
        <w:spacing w:line="276" w:lineRule="auto"/>
        <w:ind w:firstLine="480"/>
        <w:rPr>
          <w:rFonts w:asciiTheme="minorEastAsia" w:hAnsiTheme="minorEastAsia" w:eastAsiaTheme="minorEastAsia"/>
          <w:sz w:val="24"/>
        </w:rPr>
      </w:pPr>
      <w:r>
        <w:rPr>
          <w:rFonts w:hint="eastAsia" w:asciiTheme="minorEastAsia" w:hAnsiTheme="minorEastAsia" w:eastAsiaTheme="minorEastAsia"/>
          <w:sz w:val="24"/>
        </w:rPr>
        <w:t>10.6投标文件</w:t>
      </w:r>
      <w:r>
        <w:rPr>
          <w:rFonts w:hint="eastAsia" w:asciiTheme="minorEastAsia" w:hAnsiTheme="minorEastAsia" w:eastAsiaTheme="minorEastAsia"/>
          <w:b/>
          <w:bCs/>
          <w:sz w:val="24"/>
        </w:rPr>
        <w:t>正本一份，副本</w:t>
      </w:r>
      <w:r>
        <w:rPr>
          <w:rFonts w:hint="eastAsia" w:asciiTheme="minorEastAsia" w:hAnsiTheme="minorEastAsia" w:eastAsiaTheme="minorEastAsia"/>
          <w:b/>
          <w:bCs/>
          <w:color w:val="FF0000"/>
          <w:sz w:val="24"/>
          <w:u w:val="single"/>
        </w:rPr>
        <w:t xml:space="preserve">  1  </w:t>
      </w:r>
      <w:r>
        <w:rPr>
          <w:rFonts w:hint="eastAsia" w:asciiTheme="minorEastAsia" w:hAnsiTheme="minorEastAsia" w:eastAsiaTheme="minorEastAsia"/>
          <w:b/>
          <w:bCs/>
          <w:sz w:val="24"/>
        </w:rPr>
        <w:t>份</w:t>
      </w:r>
      <w:r>
        <w:rPr>
          <w:rFonts w:hint="eastAsia" w:asciiTheme="minorEastAsia" w:hAnsiTheme="minorEastAsia" w:eastAsiaTheme="minorEastAsia"/>
          <w:sz w:val="24"/>
        </w:rPr>
        <w:t>。正本和副本的封面上应清楚地标记“正本”或“副本”的字样。当正本、副本不一致时，以正本为准。</w:t>
      </w:r>
    </w:p>
    <w:p>
      <w:pPr>
        <w:pStyle w:val="48"/>
        <w:tabs>
          <w:tab w:val="left" w:pos="851"/>
        </w:tabs>
        <w:spacing w:line="276" w:lineRule="auto"/>
        <w:ind w:left="425" w:firstLine="0" w:firstLineChars="0"/>
        <w:rPr>
          <w:rFonts w:asciiTheme="minorEastAsia" w:hAnsiTheme="minorEastAsia" w:eastAsiaTheme="minorEastAsia"/>
          <w:b/>
          <w:sz w:val="24"/>
        </w:rPr>
      </w:pPr>
      <w:r>
        <w:rPr>
          <w:rFonts w:hint="eastAsia" w:asciiTheme="minorEastAsia" w:hAnsiTheme="minorEastAsia" w:eastAsiaTheme="minorEastAsia"/>
          <w:b/>
          <w:sz w:val="24"/>
        </w:rPr>
        <w:t>11.投标保证金</w:t>
      </w:r>
    </w:p>
    <w:p>
      <w:pPr>
        <w:ind w:firstLine="480" w:firstLineChars="200"/>
        <w:rPr>
          <w:rFonts w:asciiTheme="minorEastAsia" w:hAnsiTheme="minorEastAsia" w:eastAsiaTheme="minorEastAsia"/>
          <w:sz w:val="24"/>
        </w:rPr>
      </w:pPr>
      <w:r>
        <w:rPr>
          <w:rFonts w:hint="eastAsia" w:asciiTheme="minorEastAsia" w:hAnsiTheme="minorEastAsia" w:eastAsiaTheme="minorEastAsia"/>
          <w:sz w:val="24"/>
        </w:rPr>
        <w:t>11.1投标保证金的缴纳：必须从投标人的基本账户汇出，否则招标人将拒绝投标人相应的投标文件；如投标人同时投标多个包件，需按包件分别缴纳，并注明包件号。</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形  式：银行转账</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金  额：每包件</w:t>
      </w:r>
      <w:r>
        <w:rPr>
          <w:rFonts w:hint="eastAsia" w:asciiTheme="minorEastAsia" w:hAnsiTheme="minorEastAsia" w:eastAsiaTheme="minorEastAsia"/>
          <w:sz w:val="24"/>
          <w:u w:val="single"/>
        </w:rPr>
        <w:t xml:space="preserve"> 1000</w:t>
      </w:r>
      <w:r>
        <w:rPr>
          <w:rFonts w:hint="eastAsia" w:asciiTheme="minorEastAsia" w:hAnsiTheme="minorEastAsia" w:eastAsiaTheme="minorEastAsia"/>
          <w:sz w:val="24"/>
        </w:rPr>
        <w:t>元</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开户名：中铁城建集团第一工程有限公司第一项目部</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开户行：交行北京市西区支行</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账  号：9961 0150 1045 0023 3990</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11.2下列任一情况发生时，投标保证金将不予退还，同时，招标人将保留进一步索赔的权力：</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（1）投标人在招标文件中规定的投标有效期内撤回其投标；</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（2）中标人在规定期限内未能提交履约保证金；</w:t>
      </w:r>
    </w:p>
    <w:p>
      <w:pPr>
        <w:pStyle w:val="48"/>
        <w:tabs>
          <w:tab w:val="left" w:pos="1064"/>
        </w:tabs>
        <w:spacing w:line="276" w:lineRule="auto"/>
        <w:ind w:left="426" w:firstLine="0" w:firstLineChars="0"/>
        <w:rPr>
          <w:rFonts w:asciiTheme="minorEastAsia" w:hAnsiTheme="minorEastAsia" w:eastAsiaTheme="minorEastAsia"/>
          <w:sz w:val="24"/>
        </w:rPr>
      </w:pPr>
      <w:r>
        <w:rPr>
          <w:rFonts w:hint="eastAsia" w:asciiTheme="minorEastAsia" w:hAnsiTheme="minorEastAsia" w:eastAsiaTheme="minorEastAsia"/>
          <w:sz w:val="24"/>
        </w:rPr>
        <w:t>（3）中标人在规定期限内未能签订合同。</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11.3投标保证金的退还：中标合同签订后15天内，向中标人和其他未出现11.2情况的投标人一次性无息退还投标保证金。</w:t>
      </w:r>
    </w:p>
    <w:p>
      <w:pPr>
        <w:pStyle w:val="48"/>
        <w:tabs>
          <w:tab w:val="left" w:pos="851"/>
        </w:tabs>
        <w:spacing w:line="276" w:lineRule="auto"/>
        <w:ind w:left="425" w:firstLine="0" w:firstLineChars="0"/>
        <w:rPr>
          <w:rFonts w:asciiTheme="minorEastAsia" w:hAnsiTheme="minorEastAsia" w:eastAsiaTheme="minorEastAsia"/>
          <w:b/>
          <w:color w:val="0000FF"/>
          <w:sz w:val="24"/>
        </w:rPr>
      </w:pPr>
      <w:bookmarkStart w:id="151" w:name="_Toc144974516"/>
      <w:bookmarkStart w:id="152" w:name="_Toc238797570"/>
      <w:bookmarkStart w:id="153" w:name="_Toc262740061"/>
      <w:bookmarkStart w:id="154" w:name="_Toc306891596"/>
      <w:bookmarkStart w:id="155" w:name="_Toc321997848"/>
      <w:bookmarkStart w:id="156" w:name="_Toc440491943"/>
      <w:bookmarkStart w:id="157" w:name="_Toc238552215"/>
      <w:bookmarkStart w:id="158" w:name="_Toc152042324"/>
      <w:bookmarkStart w:id="159" w:name="_Toc152045548"/>
      <w:r>
        <w:rPr>
          <w:rFonts w:hint="eastAsia" w:asciiTheme="minorEastAsia" w:hAnsiTheme="minorEastAsia" w:eastAsiaTheme="minorEastAsia"/>
          <w:b/>
          <w:color w:val="0000FF"/>
          <w:sz w:val="24"/>
        </w:rPr>
        <w:t>12.投标报价</w:t>
      </w:r>
      <w:bookmarkEnd w:id="151"/>
      <w:bookmarkEnd w:id="152"/>
      <w:bookmarkEnd w:id="153"/>
      <w:bookmarkEnd w:id="154"/>
      <w:bookmarkEnd w:id="155"/>
      <w:bookmarkEnd w:id="156"/>
      <w:bookmarkEnd w:id="157"/>
      <w:bookmarkEnd w:id="158"/>
      <w:bookmarkEnd w:id="159"/>
      <w:r>
        <w:rPr>
          <w:rFonts w:hint="eastAsia" w:asciiTheme="minorEastAsia" w:hAnsiTheme="minorEastAsia" w:eastAsiaTheme="minorEastAsia"/>
          <w:b/>
          <w:color w:val="0000FF"/>
          <w:sz w:val="24"/>
        </w:rPr>
        <w:t>、付款方式及比例</w:t>
      </w:r>
    </w:p>
    <w:p>
      <w:pPr>
        <w:spacing w:line="276" w:lineRule="auto"/>
        <w:ind w:firstLine="480" w:firstLineChars="200"/>
        <w:rPr>
          <w:rFonts w:asciiTheme="minorEastAsia" w:hAnsiTheme="minorEastAsia" w:eastAsiaTheme="minorEastAsia"/>
          <w:color w:val="0000FF"/>
          <w:sz w:val="24"/>
        </w:rPr>
      </w:pPr>
      <w:r>
        <w:rPr>
          <w:rFonts w:hint="eastAsia" w:asciiTheme="minorEastAsia" w:hAnsiTheme="minorEastAsia" w:eastAsiaTheme="minorEastAsia"/>
          <w:color w:val="0000FF"/>
          <w:sz w:val="24"/>
        </w:rPr>
        <w:t>12.1投标报价为每包件物资的到场总价。投标人应按招标文件要求完成投标物资报价表（附录5），表中各栏须填写齐全，不得空白。</w:t>
      </w:r>
    </w:p>
    <w:p>
      <w:pPr>
        <w:spacing w:line="276" w:lineRule="auto"/>
        <w:ind w:firstLine="480" w:firstLineChars="200"/>
        <w:rPr>
          <w:rFonts w:asciiTheme="minorEastAsia" w:hAnsiTheme="minorEastAsia" w:eastAsiaTheme="minorEastAsia"/>
          <w:color w:val="0000FF"/>
          <w:sz w:val="24"/>
        </w:rPr>
      </w:pPr>
      <w:r>
        <w:rPr>
          <w:rFonts w:hint="eastAsia" w:asciiTheme="minorEastAsia" w:hAnsiTheme="minorEastAsia" w:eastAsiaTheme="minorEastAsia"/>
          <w:color w:val="0000FF"/>
          <w:sz w:val="24"/>
        </w:rPr>
        <w:t>12.2付款方式及比例：</w:t>
      </w:r>
    </w:p>
    <w:p>
      <w:pPr>
        <w:spacing w:line="360" w:lineRule="auto"/>
        <w:ind w:firstLine="720" w:firstLineChars="300"/>
        <w:rPr>
          <w:rFonts w:ascii="宋体" w:hAnsi="宋体" w:cs="宋体"/>
          <w:sz w:val="24"/>
        </w:rPr>
      </w:pPr>
      <w:r>
        <w:rPr>
          <w:rFonts w:hint="eastAsia" w:ascii="宋体" w:hAnsi="宋体" w:cs="宋体"/>
          <w:sz w:val="24"/>
        </w:rPr>
        <w:t>货物全部到场经甲方验收合格后3个工作日内支付结算金额的50%，竣工验收后30个工作日内支付至95%，剩余5%质保金在工程竣工俩年后付清。</w:t>
      </w:r>
    </w:p>
    <w:p>
      <w:pPr>
        <w:spacing w:line="360" w:lineRule="auto"/>
        <w:ind w:firstLine="720" w:firstLineChars="300"/>
        <w:rPr>
          <w:rFonts w:ascii="宋体" w:hAnsi="宋体" w:cs="宋体"/>
          <w:sz w:val="24"/>
        </w:rPr>
      </w:pPr>
      <w:r>
        <w:rPr>
          <w:rFonts w:hint="eastAsia" w:ascii="宋体" w:hAnsi="宋体" w:cs="宋体"/>
          <w:sz w:val="24"/>
        </w:rPr>
        <w:t>甲方付款前乙方必须先出具真实、有效的发票，甲方在确认发票无误后付款。</w:t>
      </w:r>
    </w:p>
    <w:p>
      <w:pPr>
        <w:spacing w:line="360" w:lineRule="auto"/>
        <w:ind w:firstLine="720" w:firstLineChars="300"/>
        <w:rPr>
          <w:rFonts w:asciiTheme="minorEastAsia" w:hAnsiTheme="minorEastAsia" w:eastAsiaTheme="minorEastAsia"/>
          <w:sz w:val="24"/>
        </w:rPr>
      </w:pPr>
      <w:r>
        <w:rPr>
          <w:rFonts w:hint="eastAsia" w:ascii="宋体" w:hAnsi="宋体" w:cs="宋体"/>
          <w:sz w:val="24"/>
        </w:rPr>
        <w:t>付款方式：现金转账或银行承兑汇票。如乙方将银行承兑汇票贴现，则乙方承担贴现所产生的利息和相关费用。</w:t>
      </w:r>
      <w:r>
        <w:rPr>
          <w:rFonts w:hint="eastAsia" w:asciiTheme="minorEastAsia" w:hAnsiTheme="minorEastAsia" w:eastAsiaTheme="minorEastAsia"/>
          <w:sz w:val="24"/>
        </w:rPr>
        <w:t xml:space="preserve">                                  </w:t>
      </w:r>
    </w:p>
    <w:p>
      <w:pPr>
        <w:pStyle w:val="48"/>
        <w:tabs>
          <w:tab w:val="left" w:pos="851"/>
        </w:tabs>
        <w:spacing w:line="276" w:lineRule="auto"/>
        <w:ind w:left="425" w:firstLine="0" w:firstLineChars="0"/>
        <w:rPr>
          <w:rFonts w:asciiTheme="minorEastAsia" w:hAnsiTheme="minorEastAsia" w:eastAsiaTheme="minorEastAsia"/>
          <w:b/>
          <w:sz w:val="24"/>
        </w:rPr>
      </w:pPr>
      <w:bookmarkStart w:id="160" w:name="_Toc262740062"/>
      <w:bookmarkStart w:id="161" w:name="_Toc152042325"/>
      <w:bookmarkStart w:id="162" w:name="_Toc440491944"/>
      <w:bookmarkStart w:id="163" w:name="_Toc238797571"/>
      <w:bookmarkStart w:id="164" w:name="_Toc152045549"/>
      <w:bookmarkStart w:id="165" w:name="_Toc238552216"/>
      <w:bookmarkStart w:id="166" w:name="_Toc144974517"/>
      <w:bookmarkStart w:id="167" w:name="_Toc306891597"/>
      <w:bookmarkStart w:id="168" w:name="_Toc321997849"/>
      <w:r>
        <w:rPr>
          <w:rFonts w:hint="eastAsia" w:asciiTheme="minorEastAsia" w:hAnsiTheme="minorEastAsia" w:eastAsiaTheme="minorEastAsia"/>
          <w:b/>
          <w:sz w:val="24"/>
        </w:rPr>
        <w:t>13.投标有效期</w:t>
      </w:r>
      <w:bookmarkEnd w:id="160"/>
      <w:bookmarkEnd w:id="161"/>
      <w:bookmarkEnd w:id="162"/>
      <w:bookmarkEnd w:id="163"/>
      <w:bookmarkEnd w:id="164"/>
      <w:bookmarkEnd w:id="165"/>
      <w:bookmarkEnd w:id="166"/>
      <w:bookmarkEnd w:id="167"/>
      <w:bookmarkEnd w:id="168"/>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自招标文件规定的提交投标文件截止之日起120天内保持有效。</w:t>
      </w:r>
    </w:p>
    <w:p>
      <w:pPr>
        <w:pStyle w:val="48"/>
        <w:tabs>
          <w:tab w:val="left" w:pos="284"/>
        </w:tabs>
        <w:spacing w:beforeLines="100" w:line="276" w:lineRule="auto"/>
        <w:ind w:firstLine="0" w:firstLineChars="0"/>
        <w:outlineLvl w:val="1"/>
        <w:rPr>
          <w:rFonts w:ascii="宋体" w:hAnsi="宋体" w:cs="宋体"/>
          <w:b/>
          <w:bCs/>
          <w:sz w:val="28"/>
          <w:szCs w:val="28"/>
        </w:rPr>
      </w:pPr>
      <w:bookmarkStart w:id="169" w:name="_Toc144974523"/>
      <w:bookmarkStart w:id="170" w:name="_Toc238797577"/>
      <w:bookmarkStart w:id="171" w:name="_Toc436224119"/>
      <w:bookmarkStart w:id="172" w:name="_Toc363637986"/>
      <w:bookmarkStart w:id="173" w:name="_Toc366770088"/>
      <w:bookmarkStart w:id="174" w:name="_Toc152042331"/>
      <w:bookmarkStart w:id="175" w:name="_Toc238552222"/>
      <w:bookmarkStart w:id="176" w:name="_Toc440491948"/>
      <w:bookmarkStart w:id="177" w:name="_Toc21495"/>
      <w:bookmarkStart w:id="178" w:name="_Toc321997853"/>
      <w:bookmarkStart w:id="179" w:name="_Toc331195434"/>
      <w:bookmarkStart w:id="180" w:name="_Toc152045555"/>
      <w:r>
        <w:rPr>
          <w:rFonts w:hint="eastAsia" w:ascii="宋体" w:hAnsi="宋体" w:cs="宋体"/>
          <w:b/>
          <w:bCs/>
          <w:sz w:val="28"/>
          <w:szCs w:val="28"/>
        </w:rPr>
        <w:t>四、投标</w:t>
      </w:r>
      <w:bookmarkEnd w:id="169"/>
      <w:bookmarkEnd w:id="170"/>
      <w:bookmarkEnd w:id="171"/>
      <w:bookmarkEnd w:id="172"/>
      <w:bookmarkEnd w:id="173"/>
      <w:bookmarkEnd w:id="174"/>
      <w:bookmarkEnd w:id="175"/>
      <w:bookmarkEnd w:id="176"/>
      <w:bookmarkEnd w:id="177"/>
      <w:bookmarkEnd w:id="178"/>
      <w:bookmarkEnd w:id="179"/>
      <w:bookmarkEnd w:id="180"/>
    </w:p>
    <w:p>
      <w:pPr>
        <w:pStyle w:val="48"/>
        <w:tabs>
          <w:tab w:val="left" w:pos="851"/>
        </w:tabs>
        <w:spacing w:line="276" w:lineRule="auto"/>
        <w:ind w:firstLine="482"/>
        <w:rPr>
          <w:rFonts w:asciiTheme="minorEastAsia" w:hAnsiTheme="minorEastAsia" w:eastAsiaTheme="minorEastAsia"/>
          <w:b/>
          <w:sz w:val="24"/>
        </w:rPr>
      </w:pPr>
      <w:bookmarkStart w:id="181" w:name="_Toc238552223"/>
      <w:bookmarkStart w:id="182" w:name="_Toc144974524"/>
      <w:bookmarkStart w:id="183" w:name="_Toc152045556"/>
      <w:bookmarkStart w:id="184" w:name="_Toc440491949"/>
      <w:bookmarkStart w:id="185" w:name="_Toc321997854"/>
      <w:bookmarkStart w:id="186" w:name="_Toc306891603"/>
      <w:bookmarkStart w:id="187" w:name="_Toc152042332"/>
      <w:bookmarkStart w:id="188" w:name="_Toc238797578"/>
      <w:bookmarkStart w:id="189" w:name="_Toc262740067"/>
      <w:r>
        <w:rPr>
          <w:rFonts w:hint="eastAsia" w:asciiTheme="minorEastAsia" w:hAnsiTheme="minorEastAsia" w:eastAsiaTheme="minorEastAsia"/>
          <w:b/>
          <w:sz w:val="24"/>
        </w:rPr>
        <w:t>14.投标文件的密封和标记</w:t>
      </w:r>
      <w:bookmarkEnd w:id="181"/>
      <w:bookmarkEnd w:id="182"/>
      <w:bookmarkEnd w:id="183"/>
      <w:bookmarkEnd w:id="184"/>
      <w:bookmarkEnd w:id="185"/>
      <w:bookmarkEnd w:id="186"/>
      <w:bookmarkEnd w:id="187"/>
      <w:bookmarkEnd w:id="188"/>
      <w:bookmarkEnd w:id="189"/>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14.1投标人应将装订好的投标文件正本与所有副本装在包装袋内，密封完好。</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14.2密封件的外层应写明：招标项目名称、招标编号/包件号和投标人全称，并注明“在（开标时间）前不得开封”字样，密封处应有密封章。</w:t>
      </w:r>
    </w:p>
    <w:p>
      <w:pPr>
        <w:pStyle w:val="48"/>
        <w:tabs>
          <w:tab w:val="left" w:pos="851"/>
        </w:tabs>
        <w:spacing w:line="276" w:lineRule="auto"/>
        <w:ind w:firstLine="482"/>
        <w:rPr>
          <w:rFonts w:asciiTheme="minorEastAsia" w:hAnsiTheme="minorEastAsia" w:eastAsiaTheme="minorEastAsia"/>
          <w:b/>
          <w:sz w:val="24"/>
        </w:rPr>
      </w:pPr>
      <w:bookmarkStart w:id="190" w:name="_Toc440491950"/>
      <w:bookmarkStart w:id="191" w:name="_Toc152045557"/>
      <w:bookmarkStart w:id="192" w:name="_Toc238797579"/>
      <w:bookmarkStart w:id="193" w:name="_Toc238552224"/>
      <w:bookmarkStart w:id="194" w:name="_Toc262740068"/>
      <w:bookmarkStart w:id="195" w:name="_Toc152042333"/>
      <w:bookmarkStart w:id="196" w:name="_Toc306891604"/>
      <w:bookmarkStart w:id="197" w:name="_Toc144974525"/>
      <w:bookmarkStart w:id="198" w:name="_Toc321997855"/>
      <w:r>
        <w:rPr>
          <w:rFonts w:hint="eastAsia" w:asciiTheme="minorEastAsia" w:hAnsiTheme="minorEastAsia" w:eastAsiaTheme="minorEastAsia"/>
          <w:b/>
          <w:sz w:val="24"/>
        </w:rPr>
        <w:t>15.投标文件的递交</w:t>
      </w:r>
      <w:bookmarkEnd w:id="190"/>
      <w:bookmarkEnd w:id="191"/>
      <w:bookmarkEnd w:id="192"/>
      <w:bookmarkEnd w:id="193"/>
      <w:bookmarkEnd w:id="194"/>
      <w:bookmarkEnd w:id="195"/>
      <w:bookmarkEnd w:id="196"/>
      <w:bookmarkEnd w:id="197"/>
      <w:bookmarkEnd w:id="198"/>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15.1投标人应在招标公告规定的投标地点和投标截止时间前递交投标文件。</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15.2无论投标人中标与否，投标人所递交的投标文件不予退还。</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15.3逾期送达的或者未送达指定地点的投标文件，招标人不予受理。</w:t>
      </w:r>
    </w:p>
    <w:p>
      <w:pPr>
        <w:pStyle w:val="48"/>
        <w:tabs>
          <w:tab w:val="left" w:pos="284"/>
        </w:tabs>
        <w:spacing w:beforeLines="100" w:line="276" w:lineRule="auto"/>
        <w:ind w:firstLine="0" w:firstLineChars="0"/>
        <w:outlineLvl w:val="1"/>
        <w:rPr>
          <w:rFonts w:ascii="宋体" w:hAnsi="宋体" w:cs="宋体"/>
          <w:b/>
          <w:bCs/>
          <w:sz w:val="28"/>
          <w:szCs w:val="28"/>
        </w:rPr>
      </w:pPr>
      <w:bookmarkStart w:id="199" w:name="_Toc152042335"/>
      <w:bookmarkStart w:id="200" w:name="_Toc440491952"/>
      <w:bookmarkStart w:id="201" w:name="_Toc238797581"/>
      <w:bookmarkStart w:id="202" w:name="_Toc331195435"/>
      <w:bookmarkStart w:id="203" w:name="_Toc366770089"/>
      <w:bookmarkStart w:id="204" w:name="_Toc363637987"/>
      <w:bookmarkStart w:id="205" w:name="_Toc238552226"/>
      <w:bookmarkStart w:id="206" w:name="_Toc152045559"/>
      <w:bookmarkStart w:id="207" w:name="_Toc436224120"/>
      <w:bookmarkStart w:id="208" w:name="_Toc144974527"/>
      <w:bookmarkStart w:id="209" w:name="_Toc321997857"/>
      <w:bookmarkStart w:id="210" w:name="_Toc23853"/>
      <w:r>
        <w:rPr>
          <w:rFonts w:hint="eastAsia" w:ascii="宋体" w:hAnsi="宋体" w:cs="宋体"/>
          <w:b/>
          <w:bCs/>
          <w:sz w:val="28"/>
          <w:szCs w:val="28"/>
        </w:rPr>
        <w:t>五、开标</w:t>
      </w:r>
      <w:bookmarkEnd w:id="199"/>
      <w:bookmarkEnd w:id="200"/>
      <w:bookmarkEnd w:id="201"/>
      <w:bookmarkEnd w:id="202"/>
      <w:bookmarkEnd w:id="203"/>
      <w:bookmarkEnd w:id="204"/>
      <w:bookmarkEnd w:id="205"/>
      <w:bookmarkEnd w:id="206"/>
      <w:bookmarkEnd w:id="207"/>
      <w:bookmarkEnd w:id="208"/>
      <w:bookmarkEnd w:id="209"/>
      <w:bookmarkEnd w:id="210"/>
    </w:p>
    <w:p>
      <w:pPr>
        <w:pStyle w:val="48"/>
        <w:tabs>
          <w:tab w:val="left" w:pos="851"/>
        </w:tabs>
        <w:spacing w:line="276" w:lineRule="auto"/>
        <w:ind w:left="425" w:firstLine="0" w:firstLineChars="0"/>
        <w:rPr>
          <w:rFonts w:asciiTheme="minorEastAsia" w:hAnsiTheme="minorEastAsia" w:eastAsiaTheme="minorEastAsia"/>
          <w:b/>
          <w:sz w:val="24"/>
        </w:rPr>
      </w:pPr>
      <w:bookmarkStart w:id="211" w:name="_Toc306891607"/>
      <w:bookmarkStart w:id="212" w:name="_Toc144974528"/>
      <w:bookmarkStart w:id="213" w:name="_Toc238797582"/>
      <w:bookmarkStart w:id="214" w:name="_Toc152042336"/>
      <w:bookmarkStart w:id="215" w:name="_Toc238552227"/>
      <w:bookmarkStart w:id="216" w:name="_Toc262740071"/>
      <w:bookmarkStart w:id="217" w:name="_Toc152045560"/>
      <w:bookmarkStart w:id="218" w:name="_Toc321997858"/>
      <w:bookmarkStart w:id="219" w:name="_Toc440491953"/>
      <w:r>
        <w:rPr>
          <w:rFonts w:hint="eastAsia" w:asciiTheme="minorEastAsia" w:hAnsiTheme="minorEastAsia" w:eastAsiaTheme="minorEastAsia"/>
          <w:b/>
          <w:sz w:val="24"/>
        </w:rPr>
        <w:t>16.开标时间和地点</w:t>
      </w:r>
      <w:bookmarkEnd w:id="211"/>
      <w:bookmarkEnd w:id="212"/>
      <w:bookmarkEnd w:id="213"/>
      <w:bookmarkEnd w:id="214"/>
      <w:bookmarkEnd w:id="215"/>
      <w:bookmarkEnd w:id="216"/>
      <w:bookmarkEnd w:id="217"/>
      <w:bookmarkEnd w:id="218"/>
      <w:bookmarkEnd w:id="219"/>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按招标公告规定的时间和地点公开开标。</w:t>
      </w:r>
    </w:p>
    <w:p>
      <w:pPr>
        <w:pStyle w:val="48"/>
        <w:tabs>
          <w:tab w:val="left" w:pos="851"/>
        </w:tabs>
        <w:spacing w:line="276" w:lineRule="auto"/>
        <w:ind w:left="425" w:firstLine="0" w:firstLineChars="0"/>
        <w:rPr>
          <w:rFonts w:asciiTheme="minorEastAsia" w:hAnsiTheme="minorEastAsia" w:eastAsiaTheme="minorEastAsia"/>
          <w:b/>
          <w:sz w:val="24"/>
        </w:rPr>
      </w:pPr>
      <w:bookmarkStart w:id="220" w:name="_Toc152042337"/>
      <w:bookmarkStart w:id="221" w:name="_Toc262740072"/>
      <w:bookmarkStart w:id="222" w:name="_Toc440491954"/>
      <w:bookmarkStart w:id="223" w:name="_Toc321997859"/>
      <w:bookmarkStart w:id="224" w:name="_Toc152045561"/>
      <w:bookmarkStart w:id="225" w:name="_Toc306891608"/>
      <w:bookmarkStart w:id="226" w:name="_Toc238552228"/>
      <w:bookmarkStart w:id="227" w:name="_Toc238797583"/>
      <w:bookmarkStart w:id="228" w:name="_Toc144974529"/>
      <w:r>
        <w:rPr>
          <w:rFonts w:hint="eastAsia" w:asciiTheme="minorEastAsia" w:hAnsiTheme="minorEastAsia" w:eastAsiaTheme="minorEastAsia"/>
          <w:b/>
          <w:sz w:val="24"/>
        </w:rPr>
        <w:t>17.开标程序</w:t>
      </w:r>
      <w:bookmarkEnd w:id="220"/>
      <w:bookmarkEnd w:id="221"/>
      <w:bookmarkEnd w:id="222"/>
      <w:bookmarkEnd w:id="223"/>
      <w:bookmarkEnd w:id="224"/>
      <w:bookmarkEnd w:id="225"/>
      <w:bookmarkEnd w:id="226"/>
      <w:bookmarkEnd w:id="227"/>
      <w:bookmarkEnd w:id="228"/>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主持人按下列程序进行开标：</w:t>
      </w:r>
    </w:p>
    <w:p>
      <w:pPr>
        <w:spacing w:line="276" w:lineRule="auto"/>
        <w:ind w:firstLine="480" w:firstLineChars="200"/>
        <w:rPr>
          <w:rFonts w:asciiTheme="minorEastAsia" w:hAnsiTheme="minorEastAsia" w:eastAsiaTheme="minorEastAsia"/>
          <w:sz w:val="24"/>
        </w:rPr>
      </w:pPr>
      <w:bookmarkStart w:id="229" w:name="_Toc262740073"/>
      <w:bookmarkStart w:id="230" w:name="_Toc238797584"/>
      <w:bookmarkStart w:id="231" w:name="_Toc152042338"/>
      <w:bookmarkStart w:id="232" w:name="_Toc152045562"/>
      <w:bookmarkStart w:id="233" w:name="_Toc144974530"/>
      <w:bookmarkStart w:id="234" w:name="_Toc238552229"/>
      <w:r>
        <w:rPr>
          <w:rFonts w:hint="eastAsia" w:asciiTheme="minorEastAsia" w:hAnsiTheme="minorEastAsia" w:eastAsiaTheme="minorEastAsia"/>
          <w:sz w:val="24"/>
        </w:rPr>
        <w:t>（1）宣布开标纪律；</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（2）宣布开标人、唱标人、记录人、监标人等有关信息；</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（3）宣布投标文件开标顺序；</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（4）检查投标文件的密封情况；</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（5）按照宣布的开标顺序当众开标，公布投标人名称、包件号、投标保证金的递交情况、投标报价及其他内容，并记录在案；</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（6）投标人代表、招标人代表、监标人、记录人等有关人员在开标记录上签字确认；</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（7）开标结束。</w:t>
      </w:r>
    </w:p>
    <w:p>
      <w:pPr>
        <w:pStyle w:val="48"/>
        <w:tabs>
          <w:tab w:val="left" w:pos="284"/>
        </w:tabs>
        <w:spacing w:beforeLines="100" w:line="276" w:lineRule="auto"/>
        <w:ind w:firstLine="0" w:firstLineChars="0"/>
        <w:outlineLvl w:val="1"/>
        <w:rPr>
          <w:rFonts w:ascii="宋体" w:hAnsi="宋体" w:cs="宋体"/>
          <w:b/>
          <w:bCs/>
          <w:sz w:val="28"/>
          <w:szCs w:val="28"/>
        </w:rPr>
      </w:pPr>
      <w:bookmarkStart w:id="235" w:name="_Toc440491955"/>
      <w:bookmarkStart w:id="236" w:name="_Toc321997860"/>
      <w:bookmarkStart w:id="237" w:name="_Toc363637988"/>
      <w:bookmarkStart w:id="238" w:name="_Toc331195436"/>
      <w:bookmarkStart w:id="239" w:name="_Toc436224121"/>
      <w:bookmarkStart w:id="240" w:name="_Toc366770090"/>
      <w:bookmarkStart w:id="241" w:name="_Toc30118"/>
      <w:r>
        <w:rPr>
          <w:rFonts w:hint="eastAsia" w:ascii="宋体" w:hAnsi="宋体" w:cs="宋体"/>
          <w:b/>
          <w:bCs/>
          <w:sz w:val="28"/>
          <w:szCs w:val="28"/>
        </w:rPr>
        <w:t>六、评标</w:t>
      </w:r>
      <w:bookmarkEnd w:id="229"/>
      <w:bookmarkEnd w:id="230"/>
      <w:bookmarkEnd w:id="231"/>
      <w:bookmarkEnd w:id="232"/>
      <w:bookmarkEnd w:id="233"/>
      <w:bookmarkEnd w:id="234"/>
      <w:bookmarkEnd w:id="235"/>
      <w:bookmarkEnd w:id="236"/>
      <w:bookmarkEnd w:id="237"/>
      <w:bookmarkEnd w:id="238"/>
      <w:bookmarkEnd w:id="239"/>
      <w:bookmarkEnd w:id="240"/>
      <w:bookmarkEnd w:id="241"/>
    </w:p>
    <w:p>
      <w:pPr>
        <w:pStyle w:val="48"/>
        <w:tabs>
          <w:tab w:val="left" w:pos="851"/>
        </w:tabs>
        <w:spacing w:line="276" w:lineRule="auto"/>
        <w:ind w:left="425" w:firstLine="0" w:firstLineChars="0"/>
        <w:rPr>
          <w:rFonts w:asciiTheme="minorEastAsia" w:hAnsiTheme="minorEastAsia" w:eastAsiaTheme="minorEastAsia"/>
          <w:b/>
          <w:sz w:val="24"/>
        </w:rPr>
      </w:pPr>
      <w:bookmarkStart w:id="242" w:name="_Toc321997861"/>
      <w:bookmarkStart w:id="243" w:name="_Toc440491956"/>
      <w:bookmarkStart w:id="244" w:name="_Toc152045563"/>
      <w:bookmarkStart w:id="245" w:name="_Toc238797585"/>
      <w:bookmarkStart w:id="246" w:name="_Toc238552230"/>
      <w:bookmarkStart w:id="247" w:name="_Toc306891610"/>
      <w:bookmarkStart w:id="248" w:name="_Toc152042339"/>
      <w:bookmarkStart w:id="249" w:name="_Toc144974531"/>
      <w:bookmarkStart w:id="250" w:name="_Toc262740074"/>
      <w:r>
        <w:rPr>
          <w:rFonts w:hint="eastAsia" w:asciiTheme="minorEastAsia" w:hAnsiTheme="minorEastAsia" w:eastAsiaTheme="minorEastAsia"/>
          <w:b/>
          <w:sz w:val="24"/>
        </w:rPr>
        <w:t>18.评标委员会</w:t>
      </w:r>
      <w:bookmarkEnd w:id="242"/>
      <w:bookmarkEnd w:id="243"/>
      <w:bookmarkEnd w:id="244"/>
      <w:bookmarkEnd w:id="245"/>
      <w:bookmarkEnd w:id="246"/>
      <w:bookmarkEnd w:id="247"/>
      <w:bookmarkEnd w:id="248"/>
      <w:bookmarkEnd w:id="249"/>
      <w:bookmarkEnd w:id="250"/>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招标人负责依法组建评标委员会。</w:t>
      </w:r>
    </w:p>
    <w:p>
      <w:pPr>
        <w:pStyle w:val="48"/>
        <w:tabs>
          <w:tab w:val="left" w:pos="851"/>
        </w:tabs>
        <w:spacing w:line="276" w:lineRule="auto"/>
        <w:ind w:left="425" w:firstLine="0" w:firstLineChars="0"/>
        <w:rPr>
          <w:rFonts w:asciiTheme="minorEastAsia" w:hAnsiTheme="minorEastAsia" w:eastAsiaTheme="minorEastAsia"/>
          <w:b/>
          <w:sz w:val="24"/>
        </w:rPr>
      </w:pPr>
      <w:bookmarkStart w:id="251" w:name="_Toc144974532"/>
      <w:bookmarkStart w:id="252" w:name="_Toc306891612"/>
      <w:bookmarkStart w:id="253" w:name="_Toc152042340"/>
      <w:bookmarkStart w:id="254" w:name="_Toc262740075"/>
      <w:bookmarkStart w:id="255" w:name="_Toc321997862"/>
      <w:bookmarkStart w:id="256" w:name="_Toc152045564"/>
      <w:bookmarkStart w:id="257" w:name="_Toc238552231"/>
      <w:bookmarkStart w:id="258" w:name="_Toc238797586"/>
      <w:bookmarkStart w:id="259" w:name="_Toc440491957"/>
      <w:r>
        <w:rPr>
          <w:rFonts w:hint="eastAsia" w:asciiTheme="minorEastAsia" w:hAnsiTheme="minorEastAsia" w:eastAsiaTheme="minorEastAsia"/>
          <w:b/>
          <w:sz w:val="24"/>
        </w:rPr>
        <w:t>19.评标原则</w:t>
      </w:r>
      <w:bookmarkEnd w:id="251"/>
      <w:bookmarkEnd w:id="252"/>
      <w:bookmarkEnd w:id="253"/>
      <w:bookmarkEnd w:id="254"/>
      <w:bookmarkEnd w:id="255"/>
      <w:bookmarkEnd w:id="256"/>
      <w:bookmarkEnd w:id="257"/>
      <w:bookmarkEnd w:id="258"/>
      <w:bookmarkEnd w:id="259"/>
      <w:r>
        <w:rPr>
          <w:rFonts w:asciiTheme="minorEastAsia" w:hAnsiTheme="minorEastAsia" w:eastAsiaTheme="minorEastAsia"/>
          <w:b/>
          <w:sz w:val="24"/>
        </w:rPr>
        <w:tab/>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评标活动遵循公平、公正、科学和择优的原则。</w:t>
      </w:r>
    </w:p>
    <w:p>
      <w:pPr>
        <w:pStyle w:val="48"/>
        <w:tabs>
          <w:tab w:val="left" w:pos="851"/>
        </w:tabs>
        <w:spacing w:line="276" w:lineRule="auto"/>
        <w:ind w:left="425" w:firstLine="0" w:firstLineChars="0"/>
        <w:rPr>
          <w:rFonts w:asciiTheme="minorEastAsia" w:hAnsiTheme="minorEastAsia" w:eastAsiaTheme="minorEastAsia"/>
          <w:b/>
          <w:sz w:val="24"/>
        </w:rPr>
      </w:pPr>
      <w:bookmarkStart w:id="260" w:name="_Toc152045565"/>
      <w:bookmarkStart w:id="261" w:name="_Toc262740076"/>
      <w:bookmarkStart w:id="262" w:name="_Toc152042341"/>
      <w:bookmarkStart w:id="263" w:name="_Toc306891613"/>
      <w:bookmarkStart w:id="264" w:name="_Toc238552232"/>
      <w:bookmarkStart w:id="265" w:name="_Toc144974533"/>
      <w:bookmarkStart w:id="266" w:name="_Toc238797587"/>
      <w:bookmarkStart w:id="267" w:name="_Toc440491958"/>
      <w:bookmarkStart w:id="268" w:name="_Toc321997863"/>
      <w:r>
        <w:rPr>
          <w:rFonts w:hint="eastAsia" w:asciiTheme="minorEastAsia" w:hAnsiTheme="minorEastAsia" w:eastAsiaTheme="minorEastAsia"/>
          <w:b/>
          <w:sz w:val="24"/>
        </w:rPr>
        <w:t>20.评标</w:t>
      </w:r>
      <w:bookmarkEnd w:id="260"/>
      <w:bookmarkEnd w:id="261"/>
      <w:bookmarkEnd w:id="262"/>
      <w:bookmarkEnd w:id="263"/>
      <w:bookmarkEnd w:id="264"/>
      <w:bookmarkEnd w:id="265"/>
      <w:bookmarkEnd w:id="266"/>
      <w:bookmarkEnd w:id="267"/>
      <w:bookmarkEnd w:id="268"/>
      <w:r>
        <w:rPr>
          <w:rFonts w:hint="eastAsia" w:asciiTheme="minorEastAsia" w:hAnsiTheme="minorEastAsia" w:eastAsiaTheme="minorEastAsia"/>
          <w:b/>
          <w:sz w:val="24"/>
        </w:rPr>
        <w:t>办法</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评标委员会按照第五部分《评标办法》规定的方法、评审因素、标准和程序对投标文件进行评审。</w:t>
      </w:r>
    </w:p>
    <w:p>
      <w:pPr>
        <w:pStyle w:val="48"/>
        <w:tabs>
          <w:tab w:val="left" w:pos="851"/>
        </w:tabs>
        <w:spacing w:line="276" w:lineRule="auto"/>
        <w:ind w:left="425" w:firstLine="0" w:firstLineChars="0"/>
        <w:rPr>
          <w:rFonts w:asciiTheme="minorEastAsia" w:hAnsiTheme="minorEastAsia" w:eastAsiaTheme="minorEastAsia"/>
          <w:b/>
          <w:sz w:val="24"/>
        </w:rPr>
      </w:pPr>
      <w:bookmarkStart w:id="269" w:name="_Toc440491959"/>
      <w:r>
        <w:rPr>
          <w:rFonts w:hint="eastAsia" w:asciiTheme="minorEastAsia" w:hAnsiTheme="minorEastAsia" w:eastAsiaTheme="minorEastAsia"/>
          <w:b/>
          <w:sz w:val="24"/>
        </w:rPr>
        <w:t>21.推荐中标候选人</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评标委员会将根据评标办法规定推荐中标候选人。</w:t>
      </w:r>
    </w:p>
    <w:p>
      <w:pPr>
        <w:pStyle w:val="48"/>
        <w:tabs>
          <w:tab w:val="left" w:pos="284"/>
        </w:tabs>
        <w:spacing w:beforeLines="100" w:line="276" w:lineRule="auto"/>
        <w:ind w:firstLine="0" w:firstLineChars="0"/>
        <w:outlineLvl w:val="1"/>
        <w:rPr>
          <w:rFonts w:ascii="宋体" w:hAnsi="宋体" w:cs="宋体"/>
          <w:b/>
          <w:bCs/>
          <w:sz w:val="28"/>
          <w:szCs w:val="28"/>
        </w:rPr>
      </w:pPr>
      <w:bookmarkStart w:id="270" w:name="_Toc5279"/>
      <w:r>
        <w:rPr>
          <w:rFonts w:hint="eastAsia" w:ascii="宋体" w:hAnsi="宋体" w:cs="宋体"/>
          <w:b/>
          <w:bCs/>
          <w:sz w:val="28"/>
          <w:szCs w:val="28"/>
        </w:rPr>
        <w:t>七、定标</w:t>
      </w:r>
      <w:bookmarkEnd w:id="270"/>
    </w:p>
    <w:p>
      <w:pPr>
        <w:spacing w:line="276"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22.确定中标人</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招标人根据评标委员会提出的书面评标报告和推荐的中标候选人，确定排名第一的中标候选人为中标人，并报有关部门审批。</w:t>
      </w:r>
    </w:p>
    <w:p>
      <w:pPr>
        <w:spacing w:line="276"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23.评标结果公示</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招标人将评标结果在发布招标公告的网站上公示。</w:t>
      </w:r>
    </w:p>
    <w:p>
      <w:pPr>
        <w:spacing w:line="276" w:lineRule="auto"/>
        <w:ind w:firstLine="482" w:firstLineChars="200"/>
        <w:rPr>
          <w:rFonts w:asciiTheme="minorEastAsia" w:hAnsiTheme="minorEastAsia" w:eastAsiaTheme="minorEastAsia"/>
          <w:b/>
          <w:bCs/>
          <w:sz w:val="24"/>
        </w:rPr>
      </w:pPr>
      <w:r>
        <w:rPr>
          <w:rFonts w:hint="eastAsia" w:asciiTheme="minorEastAsia" w:hAnsiTheme="minorEastAsia" w:eastAsiaTheme="minorEastAsia"/>
          <w:b/>
          <w:bCs/>
          <w:sz w:val="24"/>
        </w:rPr>
        <w:t>24.发放中标通知书</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招标人确定中标人后，将向中标人发出书面中标通知书。中标通知书将构成合同的一部分。</w:t>
      </w:r>
    </w:p>
    <w:p>
      <w:pPr>
        <w:pStyle w:val="48"/>
        <w:tabs>
          <w:tab w:val="left" w:pos="284"/>
        </w:tabs>
        <w:spacing w:beforeLines="100" w:line="276" w:lineRule="auto"/>
        <w:ind w:firstLine="0" w:firstLineChars="0"/>
        <w:outlineLvl w:val="1"/>
        <w:rPr>
          <w:rFonts w:ascii="宋体" w:hAnsi="宋体" w:cs="宋体"/>
          <w:b/>
          <w:bCs/>
          <w:sz w:val="28"/>
          <w:szCs w:val="28"/>
        </w:rPr>
      </w:pPr>
      <w:bookmarkStart w:id="271" w:name="_Toc12409"/>
      <w:r>
        <w:rPr>
          <w:rFonts w:hint="eastAsia" w:ascii="宋体" w:hAnsi="宋体" w:cs="宋体"/>
          <w:b/>
          <w:bCs/>
          <w:sz w:val="28"/>
          <w:szCs w:val="28"/>
        </w:rPr>
        <w:t>八、备选供应商</w:t>
      </w:r>
      <w:bookmarkEnd w:id="269"/>
      <w:bookmarkEnd w:id="271"/>
      <w:r>
        <w:rPr>
          <w:rFonts w:hint="eastAsia" w:ascii="宋体" w:hAnsi="宋体" w:cs="宋体"/>
          <w:b/>
          <w:bCs/>
          <w:sz w:val="28"/>
          <w:szCs w:val="28"/>
        </w:rPr>
        <w:t>（根据实际情况选择此项）</w:t>
      </w:r>
    </w:p>
    <w:p>
      <w:pPr>
        <w:spacing w:line="276"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25.确定备选供应商</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 xml:space="preserve">25.1经评审通过后未中标的投标人若同意成为备选供应商，需满足如下条件： </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（1）以中标人同等条件供应本项目招标物资；</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（2）在中标结果公示期内出具承诺书。</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25.2经评审通过后未中标的投标人均无法按照中标人同等条件作为备选供应商时，允许进行二次报价由低到高选取备选供应商,需满足如下条件:</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（1）在中标结果公示期后出具承诺书；</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（2）在中标结果公示期后出具投标物资报价表（写明“二次报价”字样）。</w:t>
      </w:r>
    </w:p>
    <w:p>
      <w:pPr>
        <w:spacing w:line="276" w:lineRule="auto"/>
        <w:ind w:firstLine="482" w:firstLineChars="200"/>
        <w:rPr>
          <w:rFonts w:asciiTheme="majorEastAsia" w:hAnsiTheme="majorEastAsia" w:eastAsiaTheme="majorEastAsia" w:cstheme="majorEastAsia"/>
          <w:b/>
          <w:bCs/>
          <w:sz w:val="24"/>
        </w:rPr>
      </w:pPr>
      <w:r>
        <w:rPr>
          <w:rFonts w:hint="eastAsia" w:asciiTheme="majorEastAsia" w:hAnsiTheme="majorEastAsia" w:eastAsiaTheme="majorEastAsia" w:cstheme="majorEastAsia"/>
          <w:b/>
          <w:bCs/>
          <w:sz w:val="24"/>
        </w:rPr>
        <w:t>26.启用备选供应商</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中标人若无法满足施工需求或因图纸变更增量，招标人将启用备选供应商；同等条件下备选供应商顺序不分先后，如需启用备选供应商，招标人可自行确定备选供应商并按招标文件要求签订合同。</w:t>
      </w:r>
    </w:p>
    <w:p>
      <w:pPr>
        <w:pStyle w:val="48"/>
        <w:tabs>
          <w:tab w:val="left" w:pos="284"/>
        </w:tabs>
        <w:spacing w:beforeLines="100" w:line="276" w:lineRule="auto"/>
        <w:ind w:firstLine="0" w:firstLineChars="0"/>
        <w:outlineLvl w:val="1"/>
        <w:rPr>
          <w:rFonts w:ascii="宋体" w:hAnsi="宋体" w:cs="宋体"/>
          <w:b/>
          <w:bCs/>
          <w:sz w:val="28"/>
          <w:szCs w:val="28"/>
        </w:rPr>
      </w:pPr>
      <w:bookmarkStart w:id="272" w:name="_Toc262740077"/>
      <w:bookmarkStart w:id="273" w:name="_Toc321997864"/>
      <w:bookmarkStart w:id="274" w:name="_Toc152045566"/>
      <w:bookmarkStart w:id="275" w:name="_Toc331195437"/>
      <w:bookmarkStart w:id="276" w:name="_Toc144974534"/>
      <w:bookmarkStart w:id="277" w:name="_Toc152042342"/>
      <w:bookmarkStart w:id="278" w:name="_Toc440491960"/>
      <w:bookmarkStart w:id="279" w:name="_Toc238552233"/>
      <w:bookmarkStart w:id="280" w:name="_Toc363637989"/>
      <w:bookmarkStart w:id="281" w:name="_Toc7373"/>
      <w:bookmarkStart w:id="282" w:name="_Toc366770091"/>
      <w:bookmarkStart w:id="283" w:name="_Toc238797588"/>
      <w:bookmarkStart w:id="284" w:name="_Toc436224122"/>
      <w:r>
        <w:rPr>
          <w:rFonts w:hint="eastAsia" w:ascii="宋体" w:hAnsi="宋体" w:cs="宋体"/>
          <w:b/>
          <w:bCs/>
          <w:sz w:val="28"/>
          <w:szCs w:val="28"/>
        </w:rPr>
        <w:t>九、合同授予</w:t>
      </w:r>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48"/>
        <w:tabs>
          <w:tab w:val="left" w:pos="851"/>
        </w:tabs>
        <w:spacing w:line="276" w:lineRule="auto"/>
        <w:ind w:left="425" w:firstLine="0" w:firstLineChars="0"/>
        <w:rPr>
          <w:rFonts w:asciiTheme="minorEastAsia" w:hAnsiTheme="minorEastAsia" w:eastAsiaTheme="minorEastAsia"/>
          <w:b/>
          <w:sz w:val="24"/>
        </w:rPr>
      </w:pPr>
      <w:bookmarkStart w:id="285" w:name="_Toc238552236"/>
      <w:bookmarkStart w:id="286" w:name="_Toc144974537"/>
      <w:bookmarkStart w:id="287" w:name="_Toc306891617"/>
      <w:bookmarkStart w:id="288" w:name="_Toc321997867"/>
      <w:bookmarkStart w:id="289" w:name="_Toc152042345"/>
      <w:bookmarkStart w:id="290" w:name="_Toc238797591"/>
      <w:bookmarkStart w:id="291" w:name="_Toc440491964"/>
      <w:bookmarkStart w:id="292" w:name="_Toc152045569"/>
      <w:bookmarkStart w:id="293" w:name="_Toc262740080"/>
      <w:r>
        <w:rPr>
          <w:rFonts w:hint="eastAsia" w:asciiTheme="minorEastAsia" w:hAnsiTheme="minorEastAsia" w:eastAsiaTheme="minorEastAsia"/>
          <w:b/>
          <w:sz w:val="24"/>
        </w:rPr>
        <w:t>27.履约</w:t>
      </w:r>
      <w:bookmarkEnd w:id="285"/>
      <w:bookmarkEnd w:id="286"/>
      <w:bookmarkEnd w:id="287"/>
      <w:bookmarkEnd w:id="288"/>
      <w:bookmarkEnd w:id="289"/>
      <w:bookmarkEnd w:id="290"/>
      <w:bookmarkEnd w:id="291"/>
      <w:bookmarkEnd w:id="292"/>
      <w:bookmarkEnd w:id="293"/>
      <w:r>
        <w:rPr>
          <w:rFonts w:hint="eastAsia" w:asciiTheme="minorEastAsia" w:hAnsiTheme="minorEastAsia" w:eastAsiaTheme="minorEastAsia"/>
          <w:b/>
          <w:sz w:val="24"/>
        </w:rPr>
        <w:t>保证金</w:t>
      </w:r>
    </w:p>
    <w:p>
      <w:pPr>
        <w:spacing w:line="276" w:lineRule="auto"/>
        <w:ind w:firstLine="480" w:firstLineChars="200"/>
        <w:rPr>
          <w:rFonts w:asciiTheme="majorEastAsia" w:hAnsiTheme="majorEastAsia" w:eastAsiaTheme="majorEastAsia" w:cstheme="majorEastAsia"/>
          <w:sz w:val="24"/>
          <w:u w:val="single"/>
        </w:rPr>
      </w:pPr>
      <w:bookmarkStart w:id="294" w:name="_Toc306891618"/>
      <w:bookmarkStart w:id="295" w:name="_Toc301949752"/>
      <w:r>
        <w:rPr>
          <w:rFonts w:hint="eastAsia" w:asciiTheme="majorEastAsia" w:hAnsiTheme="majorEastAsia" w:eastAsiaTheme="majorEastAsia" w:cstheme="majorEastAsia"/>
          <w:sz w:val="24"/>
        </w:rPr>
        <w:t>27.1发出中标通知书后至签订合同前，中标人应按以下方式向招标人提交履约保证金</w:t>
      </w:r>
      <w:bookmarkEnd w:id="294"/>
      <w:bookmarkEnd w:id="295"/>
      <w:r>
        <w:rPr>
          <w:rFonts w:hint="eastAsia" w:asciiTheme="majorEastAsia" w:hAnsiTheme="majorEastAsia" w:eastAsiaTheme="majorEastAsia" w:cstheme="majorEastAsia"/>
          <w:sz w:val="24"/>
        </w:rPr>
        <w:t>：</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形  式：银行转账</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金  额：每包件 1 万元</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开户名：中铁城建集团第一工程有限公司第一项目部</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开户行：交行北京市西区支行</w:t>
      </w:r>
    </w:p>
    <w:p>
      <w:pPr>
        <w:spacing w:line="276" w:lineRule="auto"/>
        <w:ind w:firstLine="480" w:firstLineChars="200"/>
        <w:rPr>
          <w:rFonts w:asciiTheme="majorEastAsia" w:hAnsiTheme="majorEastAsia" w:eastAsiaTheme="majorEastAsia" w:cstheme="majorEastAsia"/>
          <w:sz w:val="24"/>
        </w:rPr>
      </w:pPr>
      <w:r>
        <w:rPr>
          <w:rFonts w:hint="eastAsia" w:asciiTheme="minorEastAsia" w:hAnsiTheme="minorEastAsia" w:eastAsiaTheme="minorEastAsia"/>
          <w:sz w:val="24"/>
        </w:rPr>
        <w:t>账  号：9961 0150 1045 0023 3990</w:t>
      </w:r>
    </w:p>
    <w:p>
      <w:pPr>
        <w:spacing w:line="276" w:lineRule="auto"/>
        <w:ind w:firstLine="480" w:firstLineChars="200"/>
        <w:rPr>
          <w:rFonts w:asciiTheme="majorEastAsia" w:hAnsiTheme="majorEastAsia" w:eastAsiaTheme="majorEastAsia" w:cstheme="majorEastAsia"/>
          <w:sz w:val="24"/>
        </w:rPr>
      </w:pPr>
      <w:r>
        <w:rPr>
          <w:rFonts w:hint="eastAsia" w:asciiTheme="majorEastAsia" w:hAnsiTheme="majorEastAsia" w:eastAsiaTheme="majorEastAsia" w:cstheme="majorEastAsia"/>
          <w:sz w:val="24"/>
        </w:rPr>
        <w:t>7.2若中标人在规定时间内未缴纳履约保证金，视为放弃中标，其投标保证金不予退还。</w:t>
      </w:r>
    </w:p>
    <w:p>
      <w:pPr>
        <w:pStyle w:val="48"/>
        <w:tabs>
          <w:tab w:val="left" w:pos="851"/>
        </w:tabs>
        <w:spacing w:line="276" w:lineRule="auto"/>
        <w:ind w:left="425" w:firstLine="0" w:firstLineChars="0"/>
        <w:rPr>
          <w:rFonts w:asciiTheme="minorEastAsia" w:hAnsiTheme="minorEastAsia" w:eastAsiaTheme="minorEastAsia"/>
          <w:b/>
          <w:sz w:val="24"/>
        </w:rPr>
      </w:pPr>
      <w:bookmarkStart w:id="296" w:name="_Toc238552237"/>
      <w:bookmarkStart w:id="297" w:name="_Toc144974538"/>
      <w:bookmarkStart w:id="298" w:name="_Toc152045570"/>
      <w:bookmarkStart w:id="299" w:name="_Toc152042346"/>
      <w:bookmarkStart w:id="300" w:name="_Toc306891619"/>
      <w:bookmarkStart w:id="301" w:name="_Toc262740081"/>
      <w:bookmarkStart w:id="302" w:name="_Toc238797592"/>
      <w:bookmarkStart w:id="303" w:name="_Toc321997868"/>
      <w:bookmarkStart w:id="304" w:name="_Toc440491965"/>
      <w:r>
        <w:rPr>
          <w:rFonts w:hint="eastAsia" w:asciiTheme="minorEastAsia" w:hAnsiTheme="minorEastAsia" w:eastAsiaTheme="minorEastAsia"/>
          <w:b/>
          <w:sz w:val="24"/>
        </w:rPr>
        <w:t>28.签订合同</w:t>
      </w:r>
      <w:bookmarkEnd w:id="296"/>
      <w:bookmarkEnd w:id="297"/>
      <w:bookmarkEnd w:id="298"/>
      <w:bookmarkEnd w:id="299"/>
      <w:bookmarkEnd w:id="300"/>
      <w:bookmarkEnd w:id="301"/>
      <w:bookmarkEnd w:id="302"/>
      <w:bookmarkEnd w:id="303"/>
      <w:bookmarkEnd w:id="304"/>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28.1中标人应当在中标通知书指定的时间内，与招标人订立书面合同。</w:t>
      </w:r>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 xml:space="preserve">28.2若因投标人原因未按规定时间签订合同，将取消其中标资格，其投标保证金将不予退还。 </w:t>
      </w:r>
    </w:p>
    <w:p>
      <w:pPr>
        <w:pStyle w:val="48"/>
        <w:tabs>
          <w:tab w:val="left" w:pos="284"/>
        </w:tabs>
        <w:spacing w:beforeLines="100" w:line="276" w:lineRule="auto"/>
        <w:ind w:firstLine="0" w:firstLineChars="0"/>
        <w:outlineLvl w:val="1"/>
        <w:rPr>
          <w:rFonts w:ascii="宋体" w:hAnsi="宋体" w:cs="宋体"/>
          <w:b/>
          <w:bCs/>
          <w:sz w:val="28"/>
          <w:szCs w:val="28"/>
        </w:rPr>
      </w:pPr>
      <w:bookmarkStart w:id="305" w:name="_Toc238552238"/>
      <w:bookmarkStart w:id="306" w:name="_Toc440491966"/>
      <w:bookmarkStart w:id="307" w:name="_Toc152045571"/>
      <w:bookmarkStart w:id="308" w:name="_Toc363637990"/>
      <w:bookmarkStart w:id="309" w:name="_Toc321997869"/>
      <w:bookmarkStart w:id="310" w:name="_Toc22940"/>
      <w:bookmarkStart w:id="311" w:name="_Toc262740082"/>
      <w:bookmarkStart w:id="312" w:name="_Toc436224123"/>
      <w:bookmarkStart w:id="313" w:name="_Toc144974539"/>
      <w:bookmarkStart w:id="314" w:name="_Toc331195438"/>
      <w:bookmarkStart w:id="315" w:name="_Toc152042347"/>
      <w:bookmarkStart w:id="316" w:name="_Toc238797593"/>
      <w:bookmarkStart w:id="317" w:name="_Toc366770092"/>
      <w:r>
        <w:rPr>
          <w:rFonts w:hint="eastAsia" w:ascii="宋体" w:hAnsi="宋体" w:cs="宋体"/>
          <w:b/>
          <w:bCs/>
          <w:sz w:val="28"/>
          <w:szCs w:val="28"/>
        </w:rPr>
        <w:t>十、重新招标和不再招标</w:t>
      </w:r>
      <w:bookmarkEnd w:id="305"/>
      <w:bookmarkEnd w:id="306"/>
      <w:bookmarkEnd w:id="307"/>
      <w:bookmarkEnd w:id="308"/>
      <w:bookmarkEnd w:id="309"/>
      <w:bookmarkEnd w:id="310"/>
      <w:bookmarkEnd w:id="311"/>
      <w:bookmarkEnd w:id="312"/>
      <w:bookmarkEnd w:id="313"/>
      <w:bookmarkEnd w:id="314"/>
      <w:bookmarkEnd w:id="315"/>
      <w:bookmarkEnd w:id="316"/>
      <w:bookmarkEnd w:id="317"/>
    </w:p>
    <w:p>
      <w:pPr>
        <w:pStyle w:val="48"/>
        <w:tabs>
          <w:tab w:val="left" w:pos="851"/>
        </w:tabs>
        <w:spacing w:line="276" w:lineRule="auto"/>
        <w:ind w:left="425" w:firstLine="0" w:firstLineChars="0"/>
        <w:rPr>
          <w:rFonts w:asciiTheme="minorEastAsia" w:hAnsiTheme="minorEastAsia" w:eastAsiaTheme="minorEastAsia"/>
          <w:b/>
          <w:sz w:val="24"/>
        </w:rPr>
      </w:pPr>
      <w:bookmarkStart w:id="318" w:name="_Toc306891621"/>
      <w:bookmarkStart w:id="319" w:name="_Toc294886810"/>
      <w:bookmarkStart w:id="320" w:name="_Toc321997870"/>
      <w:bookmarkStart w:id="321" w:name="_Toc440491967"/>
      <w:bookmarkStart w:id="322" w:name="_Toc260380010"/>
      <w:bookmarkStart w:id="323" w:name="_Toc152045572"/>
      <w:bookmarkStart w:id="324" w:name="_Toc231982843"/>
      <w:bookmarkStart w:id="325" w:name="_Toc152042348"/>
      <w:bookmarkStart w:id="326" w:name="_Toc144974540"/>
      <w:bookmarkStart w:id="327" w:name="_Toc231873547"/>
      <w:r>
        <w:rPr>
          <w:rFonts w:hint="eastAsia" w:asciiTheme="minorEastAsia" w:hAnsiTheme="minorEastAsia" w:eastAsiaTheme="minorEastAsia"/>
          <w:b/>
          <w:sz w:val="24"/>
        </w:rPr>
        <w:t>29.1若出现下列情况，则重新招标</w:t>
      </w:r>
      <w:bookmarkEnd w:id="318"/>
      <w:bookmarkEnd w:id="319"/>
      <w:bookmarkEnd w:id="320"/>
      <w:bookmarkEnd w:id="321"/>
    </w:p>
    <w:p>
      <w:pPr>
        <w:numPr>
          <w:ilvl w:val="0"/>
          <w:numId w:val="5"/>
        </w:num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出售招标文件截止时间止购买招标文件的投标人少于3个；</w:t>
      </w:r>
    </w:p>
    <w:p>
      <w:pPr>
        <w:numPr>
          <w:ilvl w:val="0"/>
          <w:numId w:val="5"/>
        </w:num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投标截止时间止提交投标文件的投标人少于3个；</w:t>
      </w:r>
    </w:p>
    <w:p>
      <w:pPr>
        <w:numPr>
          <w:ilvl w:val="0"/>
          <w:numId w:val="5"/>
        </w:num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所有投标被评标委员会否决的；</w:t>
      </w:r>
    </w:p>
    <w:p>
      <w:pPr>
        <w:numPr>
          <w:ilvl w:val="0"/>
          <w:numId w:val="5"/>
        </w:num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所有投标报价均超过招标人可以接受的价格时。</w:t>
      </w:r>
    </w:p>
    <w:p>
      <w:pPr>
        <w:pStyle w:val="48"/>
        <w:tabs>
          <w:tab w:val="left" w:pos="851"/>
        </w:tabs>
        <w:spacing w:line="276" w:lineRule="auto"/>
        <w:ind w:left="425" w:firstLine="0" w:firstLineChars="0"/>
        <w:rPr>
          <w:rFonts w:asciiTheme="minorEastAsia" w:hAnsiTheme="minorEastAsia" w:eastAsiaTheme="minorEastAsia"/>
          <w:b/>
          <w:sz w:val="24"/>
        </w:rPr>
      </w:pPr>
      <w:bookmarkStart w:id="328" w:name="_Toc321997871"/>
      <w:bookmarkStart w:id="329" w:name="_Toc440491968"/>
      <w:bookmarkStart w:id="330" w:name="_Toc306891622"/>
      <w:r>
        <w:rPr>
          <w:rFonts w:hint="eastAsia" w:asciiTheme="minorEastAsia" w:hAnsiTheme="minorEastAsia" w:eastAsiaTheme="minorEastAsia"/>
          <w:b/>
          <w:sz w:val="24"/>
        </w:rPr>
        <w:t>29.2不再招标</w:t>
      </w:r>
      <w:bookmarkEnd w:id="322"/>
      <w:bookmarkEnd w:id="328"/>
      <w:bookmarkEnd w:id="329"/>
      <w:bookmarkEnd w:id="330"/>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按第29.1款的规定重新招标的，投标人仍少于3个时，招标人报上级单位备案后可以不再进行招标。</w:t>
      </w:r>
    </w:p>
    <w:bookmarkEnd w:id="323"/>
    <w:bookmarkEnd w:id="324"/>
    <w:bookmarkEnd w:id="325"/>
    <w:bookmarkEnd w:id="326"/>
    <w:bookmarkEnd w:id="327"/>
    <w:p>
      <w:pPr>
        <w:pStyle w:val="48"/>
        <w:tabs>
          <w:tab w:val="left" w:pos="284"/>
        </w:tabs>
        <w:spacing w:beforeLines="100" w:line="276" w:lineRule="auto"/>
        <w:ind w:firstLine="0" w:firstLineChars="0"/>
        <w:outlineLvl w:val="1"/>
        <w:rPr>
          <w:rFonts w:ascii="宋体" w:hAnsi="宋体" w:cs="宋体"/>
          <w:b/>
          <w:bCs/>
          <w:sz w:val="28"/>
          <w:szCs w:val="28"/>
        </w:rPr>
      </w:pPr>
      <w:bookmarkStart w:id="331" w:name="_Toc363637991"/>
      <w:bookmarkStart w:id="332" w:name="_Toc262740085"/>
      <w:bookmarkStart w:id="333" w:name="_Toc152045574"/>
      <w:bookmarkStart w:id="334" w:name="_Toc436224124"/>
      <w:bookmarkStart w:id="335" w:name="_Toc6523"/>
      <w:bookmarkStart w:id="336" w:name="_Toc144974542"/>
      <w:bookmarkStart w:id="337" w:name="_Toc321997872"/>
      <w:bookmarkStart w:id="338" w:name="_Toc440491969"/>
      <w:bookmarkStart w:id="339" w:name="_Toc152042350"/>
      <w:bookmarkStart w:id="340" w:name="_Toc238797596"/>
      <w:bookmarkStart w:id="341" w:name="_Toc238552241"/>
      <w:bookmarkStart w:id="342" w:name="_Toc366770093"/>
      <w:bookmarkStart w:id="343" w:name="_Toc331195439"/>
      <w:r>
        <w:rPr>
          <w:rFonts w:hint="eastAsia" w:ascii="宋体" w:hAnsi="宋体" w:cs="宋体"/>
          <w:b/>
          <w:bCs/>
          <w:sz w:val="28"/>
          <w:szCs w:val="28"/>
        </w:rPr>
        <w:t>十一、纪律和监督</w:t>
      </w:r>
      <w:bookmarkEnd w:id="331"/>
      <w:bookmarkEnd w:id="332"/>
      <w:bookmarkEnd w:id="333"/>
      <w:bookmarkEnd w:id="334"/>
      <w:bookmarkEnd w:id="335"/>
      <w:bookmarkEnd w:id="336"/>
      <w:bookmarkEnd w:id="337"/>
      <w:bookmarkEnd w:id="338"/>
      <w:bookmarkEnd w:id="339"/>
      <w:bookmarkEnd w:id="340"/>
      <w:bookmarkEnd w:id="341"/>
      <w:bookmarkEnd w:id="342"/>
      <w:bookmarkEnd w:id="343"/>
    </w:p>
    <w:p>
      <w:pPr>
        <w:pStyle w:val="48"/>
        <w:tabs>
          <w:tab w:val="left" w:pos="851"/>
        </w:tabs>
        <w:spacing w:line="276" w:lineRule="auto"/>
        <w:ind w:left="425" w:firstLine="0" w:firstLineChars="0"/>
        <w:rPr>
          <w:rFonts w:asciiTheme="minorEastAsia" w:hAnsiTheme="minorEastAsia" w:eastAsiaTheme="minorEastAsia"/>
          <w:b/>
          <w:sz w:val="24"/>
        </w:rPr>
      </w:pPr>
      <w:bookmarkStart w:id="344" w:name="_Toc152045575"/>
      <w:bookmarkStart w:id="345" w:name="_Toc262740086"/>
      <w:bookmarkStart w:id="346" w:name="_Toc152042351"/>
      <w:bookmarkStart w:id="347" w:name="_Toc321997873"/>
      <w:bookmarkStart w:id="348" w:name="_Toc238797597"/>
      <w:bookmarkStart w:id="349" w:name="_Toc440491970"/>
      <w:bookmarkStart w:id="350" w:name="_Toc238552242"/>
      <w:bookmarkStart w:id="351" w:name="_Toc306891624"/>
      <w:bookmarkStart w:id="352" w:name="_Toc144974543"/>
      <w:r>
        <w:rPr>
          <w:rFonts w:hint="eastAsia" w:asciiTheme="minorEastAsia" w:hAnsiTheme="minorEastAsia" w:eastAsiaTheme="minorEastAsia"/>
          <w:b/>
          <w:sz w:val="24"/>
        </w:rPr>
        <w:t>30.1对招标人的纪律要求</w:t>
      </w:r>
      <w:bookmarkEnd w:id="344"/>
      <w:bookmarkEnd w:id="345"/>
      <w:bookmarkEnd w:id="346"/>
      <w:bookmarkEnd w:id="347"/>
      <w:bookmarkEnd w:id="348"/>
      <w:bookmarkEnd w:id="349"/>
      <w:bookmarkEnd w:id="350"/>
      <w:bookmarkEnd w:id="351"/>
      <w:bookmarkEnd w:id="352"/>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招标人不得泄漏招标投标活动中应当保密的情况和资料，不得与投标人串通损害国家利益、社会公共利益或者他人合法权益。</w:t>
      </w:r>
    </w:p>
    <w:p>
      <w:pPr>
        <w:pStyle w:val="48"/>
        <w:tabs>
          <w:tab w:val="left" w:pos="851"/>
        </w:tabs>
        <w:spacing w:line="276" w:lineRule="auto"/>
        <w:ind w:left="425" w:firstLine="0" w:firstLineChars="0"/>
        <w:rPr>
          <w:rFonts w:asciiTheme="minorEastAsia" w:hAnsiTheme="minorEastAsia" w:eastAsiaTheme="minorEastAsia"/>
          <w:b/>
          <w:sz w:val="24"/>
        </w:rPr>
      </w:pPr>
      <w:bookmarkStart w:id="353" w:name="_Toc238797598"/>
      <w:bookmarkStart w:id="354" w:name="_Toc440491971"/>
      <w:bookmarkStart w:id="355" w:name="_Toc306891625"/>
      <w:bookmarkStart w:id="356" w:name="_Toc262740087"/>
      <w:bookmarkStart w:id="357" w:name="_Toc144974544"/>
      <w:bookmarkStart w:id="358" w:name="_Toc321997874"/>
      <w:bookmarkStart w:id="359" w:name="_Toc238552243"/>
      <w:bookmarkStart w:id="360" w:name="_Toc152042352"/>
      <w:bookmarkStart w:id="361" w:name="_Toc152045576"/>
      <w:r>
        <w:rPr>
          <w:rFonts w:hint="eastAsia" w:asciiTheme="minorEastAsia" w:hAnsiTheme="minorEastAsia" w:eastAsiaTheme="minorEastAsia"/>
          <w:b/>
          <w:sz w:val="24"/>
        </w:rPr>
        <w:t>30.2对投标人的纪律要求</w:t>
      </w:r>
      <w:bookmarkEnd w:id="353"/>
      <w:bookmarkEnd w:id="354"/>
      <w:bookmarkEnd w:id="355"/>
      <w:bookmarkEnd w:id="356"/>
      <w:bookmarkEnd w:id="357"/>
      <w:bookmarkEnd w:id="358"/>
      <w:bookmarkEnd w:id="359"/>
      <w:bookmarkEnd w:id="360"/>
      <w:bookmarkEnd w:id="361"/>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投标人不得相互串通投标或者与招标人串通投标，不得向招标人或者评标委员会成员行贿谋取中标，不得以他人名义投标或者以其他方式弄虚作假骗取中标；投标人不得以任何方式干扰、影响评标及定标工作。</w:t>
      </w:r>
    </w:p>
    <w:p>
      <w:pPr>
        <w:pStyle w:val="48"/>
        <w:tabs>
          <w:tab w:val="left" w:pos="851"/>
        </w:tabs>
        <w:spacing w:line="276" w:lineRule="auto"/>
        <w:ind w:left="425" w:firstLine="0" w:firstLineChars="0"/>
        <w:rPr>
          <w:rFonts w:asciiTheme="minorEastAsia" w:hAnsiTheme="minorEastAsia" w:eastAsiaTheme="minorEastAsia"/>
          <w:b/>
          <w:sz w:val="24"/>
        </w:rPr>
      </w:pPr>
      <w:bookmarkStart w:id="362" w:name="_Toc262740088"/>
      <w:bookmarkStart w:id="363" w:name="_Toc321997875"/>
      <w:bookmarkStart w:id="364" w:name="_Toc144974545"/>
      <w:bookmarkStart w:id="365" w:name="_Toc238552244"/>
      <w:bookmarkStart w:id="366" w:name="_Toc440491972"/>
      <w:bookmarkStart w:id="367" w:name="_Toc152045577"/>
      <w:bookmarkStart w:id="368" w:name="_Toc238797599"/>
      <w:bookmarkStart w:id="369" w:name="_Toc152042353"/>
      <w:bookmarkStart w:id="370" w:name="_Toc306891626"/>
      <w:r>
        <w:rPr>
          <w:rFonts w:hint="eastAsia" w:asciiTheme="minorEastAsia" w:hAnsiTheme="minorEastAsia" w:eastAsiaTheme="minorEastAsia"/>
          <w:b/>
          <w:sz w:val="24"/>
        </w:rPr>
        <w:t>30.3对评标委员会成员的纪律要求</w:t>
      </w:r>
      <w:bookmarkEnd w:id="362"/>
      <w:bookmarkEnd w:id="363"/>
      <w:bookmarkEnd w:id="364"/>
      <w:bookmarkEnd w:id="365"/>
      <w:bookmarkEnd w:id="366"/>
      <w:bookmarkEnd w:id="367"/>
      <w:bookmarkEnd w:id="368"/>
      <w:bookmarkEnd w:id="369"/>
      <w:bookmarkEnd w:id="370"/>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评标委员会成员不得收受他人的财物或者其他好处，不得向他人透露对投标文件的评审和比较、中标候选人的推荐情况以及评标有关的其他情况。在评标活动中，评标委员会成员不得擅离职守，影响评标程序正常进行。</w:t>
      </w:r>
    </w:p>
    <w:p>
      <w:pPr>
        <w:pStyle w:val="48"/>
        <w:tabs>
          <w:tab w:val="left" w:pos="851"/>
        </w:tabs>
        <w:spacing w:line="276" w:lineRule="auto"/>
        <w:ind w:left="425" w:firstLine="0" w:firstLineChars="0"/>
        <w:rPr>
          <w:rFonts w:asciiTheme="minorEastAsia" w:hAnsiTheme="minorEastAsia" w:eastAsiaTheme="minorEastAsia"/>
          <w:b/>
          <w:sz w:val="24"/>
        </w:rPr>
      </w:pPr>
      <w:bookmarkStart w:id="371" w:name="_Toc321997876"/>
      <w:bookmarkStart w:id="372" w:name="_Toc152045578"/>
      <w:bookmarkStart w:id="373" w:name="_Toc440491973"/>
      <w:bookmarkStart w:id="374" w:name="_Toc152042354"/>
      <w:bookmarkStart w:id="375" w:name="_Toc238552245"/>
      <w:bookmarkStart w:id="376" w:name="_Toc262740089"/>
      <w:bookmarkStart w:id="377" w:name="_Toc238797600"/>
      <w:bookmarkStart w:id="378" w:name="_Toc306891627"/>
      <w:bookmarkStart w:id="379" w:name="_Toc144974546"/>
      <w:r>
        <w:rPr>
          <w:rFonts w:hint="eastAsia" w:asciiTheme="minorEastAsia" w:hAnsiTheme="minorEastAsia" w:eastAsiaTheme="minorEastAsia"/>
          <w:b/>
          <w:sz w:val="24"/>
        </w:rPr>
        <w:t>30.4对与评标活动有关的工作人员的纪律要求</w:t>
      </w:r>
      <w:bookmarkEnd w:id="371"/>
      <w:bookmarkEnd w:id="372"/>
      <w:bookmarkEnd w:id="373"/>
      <w:bookmarkEnd w:id="374"/>
      <w:bookmarkEnd w:id="375"/>
      <w:bookmarkEnd w:id="376"/>
      <w:bookmarkEnd w:id="377"/>
      <w:bookmarkEnd w:id="378"/>
    </w:p>
    <w:p>
      <w:pPr>
        <w:spacing w:line="276" w:lineRule="auto"/>
        <w:ind w:firstLine="480" w:firstLineChars="200"/>
        <w:rPr>
          <w:rFonts w:asciiTheme="minorEastAsia" w:hAnsiTheme="minorEastAsia" w:eastAsiaTheme="minorEastAsia"/>
          <w:sz w:val="24"/>
        </w:rPr>
      </w:pPr>
      <w:bookmarkStart w:id="380" w:name="_Toc152042355"/>
      <w:r>
        <w:rPr>
          <w:rFonts w:hint="eastAsia" w:asciiTheme="minorEastAsia" w:hAnsiTheme="minorEastAsia" w:eastAsiaTheme="minorEastAsia"/>
          <w:sz w:val="24"/>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bookmarkEnd w:id="380"/>
    </w:p>
    <w:p>
      <w:pPr>
        <w:pStyle w:val="48"/>
        <w:tabs>
          <w:tab w:val="left" w:pos="851"/>
        </w:tabs>
        <w:spacing w:line="276" w:lineRule="auto"/>
        <w:ind w:left="425" w:firstLine="0" w:firstLineChars="0"/>
        <w:rPr>
          <w:rFonts w:asciiTheme="minorEastAsia" w:hAnsiTheme="minorEastAsia" w:eastAsiaTheme="minorEastAsia"/>
          <w:b/>
          <w:sz w:val="24"/>
        </w:rPr>
      </w:pPr>
      <w:bookmarkStart w:id="381" w:name="_Toc262740090"/>
      <w:bookmarkStart w:id="382" w:name="_Toc306891628"/>
      <w:bookmarkStart w:id="383" w:name="_Toc152045579"/>
      <w:bookmarkStart w:id="384" w:name="_Toc152042356"/>
      <w:bookmarkStart w:id="385" w:name="_Toc238552246"/>
      <w:bookmarkStart w:id="386" w:name="_Toc321997877"/>
      <w:bookmarkStart w:id="387" w:name="_Toc440491974"/>
      <w:bookmarkStart w:id="388" w:name="_Toc238797601"/>
      <w:r>
        <w:rPr>
          <w:rFonts w:hint="eastAsia" w:asciiTheme="minorEastAsia" w:hAnsiTheme="minorEastAsia" w:eastAsiaTheme="minorEastAsia"/>
          <w:b/>
          <w:sz w:val="24"/>
        </w:rPr>
        <w:t>30.5投诉</w:t>
      </w:r>
      <w:bookmarkEnd w:id="379"/>
      <w:bookmarkEnd w:id="381"/>
      <w:bookmarkEnd w:id="382"/>
      <w:bookmarkEnd w:id="383"/>
      <w:bookmarkEnd w:id="384"/>
      <w:bookmarkEnd w:id="385"/>
      <w:bookmarkEnd w:id="386"/>
      <w:bookmarkEnd w:id="387"/>
      <w:bookmarkEnd w:id="388"/>
    </w:p>
    <w:p>
      <w:pPr>
        <w:spacing w:line="276"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投标人和其他利害关系人认为本次招标活动违反法律、法规和规章规定的，有权向招标人监督部门投诉。</w:t>
      </w:r>
    </w:p>
    <w:p>
      <w:pPr>
        <w:pStyle w:val="48"/>
        <w:tabs>
          <w:tab w:val="left" w:pos="993"/>
        </w:tabs>
        <w:spacing w:beforeLines="100" w:afterLines="100" w:line="300" w:lineRule="auto"/>
        <w:ind w:firstLine="0" w:firstLineChars="0"/>
        <w:jc w:val="center"/>
        <w:outlineLvl w:val="0"/>
        <w:rPr>
          <w:rFonts w:ascii="黑体" w:hAnsi="黑体" w:eastAsia="黑体" w:cs="宋体"/>
          <w:b/>
          <w:bCs/>
          <w:sz w:val="52"/>
          <w:szCs w:val="52"/>
        </w:rPr>
      </w:pPr>
      <w:bookmarkStart w:id="389" w:name="_Toc238552248"/>
      <w:bookmarkStart w:id="390" w:name="_Toc331195441"/>
      <w:bookmarkStart w:id="391" w:name="_Toc321997879"/>
      <w:bookmarkStart w:id="392" w:name="_Toc152045581"/>
      <w:bookmarkStart w:id="393" w:name="_Toc238797603"/>
      <w:bookmarkStart w:id="394" w:name="_Toc262740092"/>
      <w:bookmarkStart w:id="395" w:name="_Toc144974548"/>
      <w:bookmarkStart w:id="396" w:name="_Toc306891630"/>
      <w:bookmarkStart w:id="397" w:name="_Toc152042358"/>
    </w:p>
    <w:p>
      <w:pPr>
        <w:pStyle w:val="48"/>
        <w:tabs>
          <w:tab w:val="left" w:pos="993"/>
        </w:tabs>
        <w:spacing w:beforeLines="100" w:afterLines="100" w:line="300" w:lineRule="auto"/>
        <w:ind w:firstLine="0" w:firstLineChars="0"/>
        <w:outlineLvl w:val="0"/>
        <w:rPr>
          <w:rFonts w:ascii="黑体" w:hAnsi="黑体" w:eastAsia="黑体" w:cs="宋体"/>
          <w:b/>
          <w:bCs/>
          <w:sz w:val="36"/>
          <w:szCs w:val="36"/>
          <w:lang w:val="zh-CN"/>
        </w:rPr>
        <w:sectPr>
          <w:headerReference r:id="rId16" w:type="first"/>
          <w:footerReference r:id="rId18" w:type="first"/>
          <w:footerReference r:id="rId17" w:type="default"/>
          <w:pgSz w:w="11907" w:h="16839"/>
          <w:pgMar w:top="1417" w:right="1474" w:bottom="1417" w:left="1587" w:header="851" w:footer="850" w:gutter="0"/>
          <w:cols w:space="0" w:num="1"/>
          <w:docGrid w:linePitch="312" w:charSpace="0"/>
        </w:sectPr>
      </w:pPr>
    </w:p>
    <w:p>
      <w:pPr>
        <w:numPr>
          <w:ilvl w:val="0"/>
          <w:numId w:val="6"/>
        </w:numPr>
        <w:jc w:val="center"/>
        <w:rPr>
          <w:rFonts w:hint="eastAsia" w:ascii="黑体" w:hAnsi="黑体" w:eastAsia="黑体" w:cs="宋体"/>
          <w:b/>
          <w:bCs/>
          <w:sz w:val="52"/>
          <w:szCs w:val="52"/>
        </w:rPr>
      </w:pPr>
      <w:r>
        <w:rPr>
          <w:rFonts w:hint="eastAsia" w:ascii="黑体" w:hAnsi="黑体" w:eastAsia="黑体" w:cs="宋体"/>
          <w:b/>
          <w:bCs/>
          <w:sz w:val="52"/>
          <w:szCs w:val="52"/>
        </w:rPr>
        <w:t xml:space="preserve"> 物资需求一览表</w:t>
      </w:r>
    </w:p>
    <w:tbl>
      <w:tblPr>
        <w:tblStyle w:val="39"/>
        <w:tblpPr w:leftFromText="180" w:rightFromText="180" w:vertAnchor="page" w:horzAnchor="page" w:tblpXSpec="center" w:tblpY="3242"/>
        <w:tblW w:w="14404"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51"/>
        <w:gridCol w:w="851"/>
        <w:gridCol w:w="1123"/>
        <w:gridCol w:w="1701"/>
        <w:gridCol w:w="1960"/>
        <w:gridCol w:w="783"/>
        <w:gridCol w:w="917"/>
        <w:gridCol w:w="1133"/>
        <w:gridCol w:w="877"/>
        <w:gridCol w:w="1134"/>
        <w:gridCol w:w="1134"/>
        <w:gridCol w:w="994"/>
        <w:gridCol w:w="94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序号</w:t>
            </w:r>
          </w:p>
        </w:tc>
        <w:tc>
          <w:tcPr>
            <w:tcW w:w="851"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包件号</w:t>
            </w:r>
          </w:p>
        </w:tc>
        <w:tc>
          <w:tcPr>
            <w:tcW w:w="1123"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项目简称</w:t>
            </w:r>
          </w:p>
        </w:tc>
        <w:tc>
          <w:tcPr>
            <w:tcW w:w="1701"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物资名称</w:t>
            </w:r>
          </w:p>
        </w:tc>
        <w:tc>
          <w:tcPr>
            <w:tcW w:w="1960"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规格型号</w:t>
            </w:r>
          </w:p>
        </w:tc>
        <w:tc>
          <w:tcPr>
            <w:tcW w:w="783"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计量单位</w:t>
            </w:r>
          </w:p>
        </w:tc>
        <w:tc>
          <w:tcPr>
            <w:tcW w:w="917"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数量</w:t>
            </w:r>
          </w:p>
        </w:tc>
        <w:tc>
          <w:tcPr>
            <w:tcW w:w="1133"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交货地点</w:t>
            </w:r>
          </w:p>
        </w:tc>
        <w:tc>
          <w:tcPr>
            <w:tcW w:w="877"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收货人</w:t>
            </w:r>
          </w:p>
        </w:tc>
        <w:tc>
          <w:tcPr>
            <w:tcW w:w="1134"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交货状态</w:t>
            </w:r>
          </w:p>
        </w:tc>
        <w:tc>
          <w:tcPr>
            <w:tcW w:w="1134" w:type="dxa"/>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交货条件</w:t>
            </w:r>
          </w:p>
        </w:tc>
        <w:tc>
          <w:tcPr>
            <w:tcW w:w="994" w:type="dxa"/>
            <w:tcBorders>
              <w:right w:val="single" w:color="auto" w:sz="4" w:space="0"/>
            </w:tcBorders>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交货期</w:t>
            </w:r>
          </w:p>
        </w:tc>
        <w:tc>
          <w:tcPr>
            <w:tcW w:w="946" w:type="dxa"/>
            <w:tcBorders>
              <w:left w:val="single" w:color="auto" w:sz="4" w:space="0"/>
            </w:tcBorders>
            <w:vAlign w:val="center"/>
          </w:tcPr>
          <w:p>
            <w:pPr>
              <w:adjustRightInd w:val="0"/>
              <w:snapToGrid w:val="0"/>
              <w:jc w:val="center"/>
              <w:rPr>
                <w:rFonts w:ascii="宋体" w:hAnsi="宋体" w:cs="宋体"/>
                <w:bCs/>
                <w:kern w:val="0"/>
                <w:szCs w:val="21"/>
              </w:rPr>
            </w:pPr>
            <w:r>
              <w:rPr>
                <w:rFonts w:hint="eastAsia" w:ascii="宋体" w:hAnsi="宋体" w:cs="宋体"/>
                <w:bCs/>
                <w:kern w:val="0"/>
                <w:szCs w:val="21"/>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07"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1</w:t>
            </w:r>
          </w:p>
        </w:tc>
        <w:tc>
          <w:tcPr>
            <w:tcW w:w="851" w:type="dxa"/>
            <w:vMerge w:val="restart"/>
            <w:vAlign w:val="center"/>
          </w:tcPr>
          <w:p>
            <w:pPr>
              <w:jc w:val="center"/>
              <w:textAlignment w:val="center"/>
              <w:rPr>
                <w:rFonts w:ascii="宋体" w:hAnsi="宋体" w:cs="宋体"/>
                <w:kern w:val="0"/>
                <w:sz w:val="18"/>
                <w:szCs w:val="18"/>
              </w:rPr>
            </w:pPr>
            <w:r>
              <w:rPr>
                <w:rFonts w:hint="eastAsia" w:ascii="宋体" w:hAnsi="宋体" w:cs="宋体"/>
                <w:kern w:val="0"/>
                <w:sz w:val="18"/>
                <w:szCs w:val="18"/>
              </w:rPr>
              <w:t>1</w:t>
            </w:r>
          </w:p>
        </w:tc>
        <w:tc>
          <w:tcPr>
            <w:tcW w:w="1123" w:type="dxa"/>
            <w:vMerge w:val="restart"/>
            <w:vAlign w:val="center"/>
          </w:tcPr>
          <w:p>
            <w:pPr>
              <w:widowControl/>
              <w:jc w:val="center"/>
              <w:textAlignment w:val="center"/>
              <w:rPr>
                <w:sz w:val="18"/>
                <w:szCs w:val="18"/>
              </w:rPr>
            </w:pPr>
            <w:r>
              <w:rPr>
                <w:rFonts w:hint="eastAsia" w:asciiTheme="majorEastAsia" w:hAnsiTheme="majorEastAsia" w:eastAsiaTheme="majorEastAsia" w:cstheme="majorEastAsia"/>
                <w:szCs w:val="21"/>
              </w:rPr>
              <w:t>中车国际广场</w:t>
            </w:r>
            <w:r>
              <w:rPr>
                <w:rFonts w:hint="eastAsia" w:asciiTheme="majorEastAsia" w:hAnsiTheme="majorEastAsia" w:eastAsiaTheme="majorEastAsia" w:cstheme="majorEastAsia"/>
                <w:szCs w:val="21"/>
                <w:lang w:eastAsia="zh-CN"/>
              </w:rPr>
              <w:t>三</w:t>
            </w:r>
            <w:r>
              <w:rPr>
                <w:rFonts w:hint="eastAsia" w:asciiTheme="majorEastAsia" w:hAnsiTheme="majorEastAsia" w:eastAsiaTheme="majorEastAsia" w:cstheme="majorEastAsia"/>
                <w:szCs w:val="21"/>
              </w:rPr>
              <w:t>期</w:t>
            </w:r>
          </w:p>
        </w:tc>
        <w:tc>
          <w:tcPr>
            <w:tcW w:w="1701" w:type="dxa"/>
            <w:vAlign w:val="center"/>
          </w:tcPr>
          <w:p>
            <w:pPr>
              <w:widowControl/>
              <w:jc w:val="center"/>
              <w:textAlignment w:val="center"/>
              <w:rPr>
                <w:rFonts w:ascii="黑体" w:hAnsi="黑体" w:eastAsia="黑体" w:cs="黑体"/>
                <w:b/>
                <w:kern w:val="0"/>
                <w:sz w:val="20"/>
                <w:szCs w:val="16"/>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黑体" w:hAnsi="黑体" w:eastAsia="黑体" w:cs="黑体"/>
                <w:b/>
                <w:kern w:val="0"/>
                <w:sz w:val="20"/>
                <w:szCs w:val="21"/>
                <w:lang w:val="en-US" w:eastAsia="zh-CN"/>
              </w:rPr>
            </w:pPr>
            <w:r>
              <w:rPr>
                <w:rFonts w:hint="eastAsia" w:ascii="黑体" w:hAnsi="黑体" w:eastAsia="黑体" w:cs="黑体"/>
                <w:b/>
                <w:kern w:val="0"/>
                <w:sz w:val="20"/>
                <w:szCs w:val="21"/>
                <w:lang w:val="en-US" w:eastAsia="zh-CN"/>
              </w:rPr>
              <w:t>3*185+2*95</w:t>
            </w:r>
          </w:p>
        </w:tc>
        <w:tc>
          <w:tcPr>
            <w:tcW w:w="783" w:type="dxa"/>
          </w:tcPr>
          <w:p>
            <w:pPr>
              <w:spacing w:line="570" w:lineRule="exact"/>
              <w:jc w:val="center"/>
              <w:rPr>
                <w:rFonts w:ascii="黑体" w:hAnsi="黑体" w:eastAsia="黑体" w:cs="黑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1000</w:t>
            </w:r>
          </w:p>
        </w:tc>
        <w:tc>
          <w:tcPr>
            <w:tcW w:w="1133" w:type="dxa"/>
            <w:vMerge w:val="restart"/>
            <w:vAlign w:val="center"/>
          </w:tcPr>
          <w:p>
            <w:pPr>
              <w:adjustRightInd w:val="0"/>
              <w:snapToGrid w:val="0"/>
              <w:jc w:val="center"/>
              <w:rPr>
                <w:rFonts w:ascii="宋体" w:hAnsi="宋体" w:cs="宋体"/>
                <w:kern w:val="0"/>
                <w:sz w:val="18"/>
                <w:szCs w:val="18"/>
              </w:rPr>
            </w:pPr>
            <w:r>
              <w:rPr>
                <w:rFonts w:hint="eastAsia" w:asciiTheme="majorEastAsia" w:hAnsiTheme="majorEastAsia" w:eastAsiaTheme="majorEastAsia" w:cstheme="majorEastAsia"/>
                <w:kern w:val="0"/>
                <w:szCs w:val="21"/>
              </w:rPr>
              <w:t>太原市解放北路十号太原市机车车辆厂旧厂区内（甲方指定施工区域）</w:t>
            </w:r>
          </w:p>
        </w:tc>
        <w:tc>
          <w:tcPr>
            <w:tcW w:w="877" w:type="dxa"/>
            <w:vMerge w:val="restart"/>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常先生</w:t>
            </w:r>
          </w:p>
        </w:tc>
        <w:tc>
          <w:tcPr>
            <w:tcW w:w="1134" w:type="dxa"/>
            <w:vMerge w:val="restart"/>
            <w:vAlign w:val="center"/>
          </w:tcPr>
          <w:p>
            <w:pPr>
              <w:adjustRightInd w:val="0"/>
              <w:snapToGrid w:val="0"/>
              <w:jc w:val="center"/>
              <w:rPr>
                <w:rFonts w:ascii="宋体" w:hAnsi="宋体" w:cs="宋体"/>
                <w:kern w:val="0"/>
                <w:sz w:val="18"/>
                <w:szCs w:val="18"/>
              </w:rPr>
            </w:pPr>
            <w:r>
              <w:rPr>
                <w:rFonts w:hint="eastAsia" w:ascii="宋体" w:hAnsi="宋体" w:cs="宋体"/>
                <w:kern w:val="0"/>
                <w:sz w:val="18"/>
                <w:szCs w:val="18"/>
              </w:rPr>
              <w:t>合格</w:t>
            </w:r>
          </w:p>
        </w:tc>
        <w:tc>
          <w:tcPr>
            <w:tcW w:w="1134" w:type="dxa"/>
            <w:vMerge w:val="restart"/>
            <w:vAlign w:val="center"/>
          </w:tcPr>
          <w:p>
            <w:pPr>
              <w:jc w:val="center"/>
              <w:rPr>
                <w:rFonts w:ascii="宋体" w:hAnsi="宋体" w:cs="宋体"/>
                <w:kern w:val="0"/>
                <w:sz w:val="18"/>
                <w:szCs w:val="18"/>
              </w:rPr>
            </w:pPr>
            <w:r>
              <w:rPr>
                <w:rFonts w:hint="eastAsia" w:ascii="宋体" w:hAnsi="宋体" w:cs="宋体"/>
                <w:kern w:val="0"/>
                <w:sz w:val="18"/>
                <w:szCs w:val="18"/>
              </w:rPr>
              <w:t>按甲方要求</w:t>
            </w:r>
          </w:p>
        </w:tc>
        <w:tc>
          <w:tcPr>
            <w:tcW w:w="994" w:type="dxa"/>
            <w:vMerge w:val="restart"/>
            <w:tcBorders>
              <w:right w:val="single" w:color="auto" w:sz="4" w:space="0"/>
            </w:tcBorders>
            <w:vAlign w:val="center"/>
          </w:tcPr>
          <w:p>
            <w:pPr>
              <w:jc w:val="center"/>
              <w:rPr>
                <w:rFonts w:ascii="宋体" w:hAnsi="宋体" w:cs="宋体"/>
                <w:kern w:val="0"/>
                <w:sz w:val="18"/>
                <w:szCs w:val="18"/>
                <w:highlight w:val="yellow"/>
              </w:rPr>
            </w:pPr>
            <w:r>
              <w:rPr>
                <w:rFonts w:hint="eastAsia" w:ascii="宋体" w:hAnsi="宋体" w:cs="宋体"/>
                <w:kern w:val="0"/>
                <w:sz w:val="18"/>
                <w:szCs w:val="18"/>
              </w:rPr>
              <w:t>小于7天</w:t>
            </w:r>
          </w:p>
        </w:tc>
        <w:tc>
          <w:tcPr>
            <w:tcW w:w="946" w:type="dxa"/>
            <w:vMerge w:val="restart"/>
            <w:tcBorders>
              <w:left w:val="single" w:color="auto" w:sz="4" w:space="0"/>
            </w:tcBorders>
            <w:vAlign w:val="center"/>
          </w:tcPr>
          <w:p>
            <w:pPr>
              <w:rPr>
                <w:rFonts w:ascii="宋体" w:hAnsi="宋体" w:cs="宋体"/>
                <w:kern w:val="0"/>
                <w:sz w:val="18"/>
                <w:szCs w:val="18"/>
                <w:highlight w:val="yellow"/>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2</w:t>
            </w:r>
          </w:p>
        </w:tc>
        <w:tc>
          <w:tcPr>
            <w:tcW w:w="851" w:type="dxa"/>
            <w:vMerge w:val="continue"/>
            <w:vAlign w:val="center"/>
          </w:tcPr>
          <w:p>
            <w:pPr>
              <w:jc w:val="center"/>
              <w:textAlignment w:val="center"/>
              <w:rPr>
                <w:rFonts w:ascii="宋体" w:hAnsi="宋体" w:cs="宋体"/>
                <w:kern w:val="0"/>
                <w:sz w:val="18"/>
                <w:szCs w:val="18"/>
              </w:rPr>
            </w:pPr>
          </w:p>
        </w:tc>
        <w:tc>
          <w:tcPr>
            <w:tcW w:w="1123" w:type="dxa"/>
            <w:vMerge w:val="continue"/>
            <w:vAlign w:val="center"/>
          </w:tcPr>
          <w:p>
            <w:pPr>
              <w:widowControl/>
              <w:jc w:val="center"/>
              <w:textAlignment w:val="center"/>
              <w:rPr>
                <w:sz w:val="18"/>
                <w:szCs w:val="18"/>
              </w:rPr>
            </w:pPr>
          </w:p>
        </w:tc>
        <w:tc>
          <w:tcPr>
            <w:tcW w:w="1701" w:type="dxa"/>
            <w:vAlign w:val="center"/>
          </w:tcPr>
          <w:p>
            <w:pPr>
              <w:widowControl/>
              <w:jc w:val="center"/>
              <w:textAlignment w:val="center"/>
              <w:rPr>
                <w:rFonts w:ascii="黑体" w:hAnsi="黑体" w:eastAsia="黑体" w:cs="黑体"/>
                <w:b/>
                <w:kern w:val="0"/>
                <w:sz w:val="20"/>
                <w:szCs w:val="16"/>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黑体" w:hAnsi="黑体" w:eastAsia="黑体" w:cs="黑体"/>
                <w:b/>
                <w:kern w:val="0"/>
                <w:sz w:val="20"/>
                <w:szCs w:val="21"/>
                <w:lang w:val="en-US" w:eastAsia="zh-CN"/>
              </w:rPr>
            </w:pPr>
            <w:r>
              <w:rPr>
                <w:rFonts w:hint="eastAsia" w:ascii="黑体" w:hAnsi="黑体" w:eastAsia="黑体" w:cs="黑体"/>
                <w:b/>
                <w:kern w:val="0"/>
                <w:sz w:val="20"/>
                <w:szCs w:val="21"/>
                <w:lang w:val="en-US" w:eastAsia="zh-CN"/>
              </w:rPr>
              <w:t>3*120+2*70</w:t>
            </w:r>
          </w:p>
        </w:tc>
        <w:tc>
          <w:tcPr>
            <w:tcW w:w="783" w:type="dxa"/>
          </w:tcPr>
          <w:p>
            <w:pPr>
              <w:spacing w:line="570" w:lineRule="exact"/>
              <w:jc w:val="center"/>
              <w:rPr>
                <w:rFonts w:ascii="黑体" w:hAnsi="黑体" w:eastAsia="黑体" w:cs="黑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1200</w:t>
            </w:r>
          </w:p>
        </w:tc>
        <w:tc>
          <w:tcPr>
            <w:tcW w:w="1133" w:type="dxa"/>
            <w:vMerge w:val="continue"/>
            <w:vAlign w:val="center"/>
          </w:tcPr>
          <w:p>
            <w:pPr>
              <w:adjustRightInd w:val="0"/>
              <w:snapToGrid w:val="0"/>
              <w:jc w:val="center"/>
              <w:rPr>
                <w:rFonts w:ascii="宋体" w:hAnsi="宋体" w:cs="宋体"/>
                <w:kern w:val="0"/>
                <w:sz w:val="18"/>
                <w:szCs w:val="18"/>
              </w:rPr>
            </w:pPr>
          </w:p>
        </w:tc>
        <w:tc>
          <w:tcPr>
            <w:tcW w:w="877"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994" w:type="dxa"/>
            <w:vMerge w:val="continue"/>
            <w:tcBorders>
              <w:right w:val="single" w:color="auto" w:sz="4" w:space="0"/>
            </w:tcBorders>
            <w:vAlign w:val="center"/>
          </w:tcPr>
          <w:p>
            <w:pPr>
              <w:adjustRightInd w:val="0"/>
              <w:snapToGrid w:val="0"/>
              <w:jc w:val="center"/>
              <w:rPr>
                <w:rFonts w:ascii="宋体" w:hAnsi="宋体" w:cs="宋体"/>
                <w:kern w:val="0"/>
                <w:sz w:val="18"/>
                <w:szCs w:val="18"/>
              </w:rPr>
            </w:pPr>
          </w:p>
        </w:tc>
        <w:tc>
          <w:tcPr>
            <w:tcW w:w="946" w:type="dxa"/>
            <w:vMerge w:val="continue"/>
            <w:tcBorders>
              <w:left w:val="single" w:color="auto" w:sz="4" w:space="0"/>
            </w:tcBorders>
            <w:vAlign w:val="center"/>
          </w:tcPr>
          <w:p>
            <w:pPr>
              <w:adjustRightInd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3</w:t>
            </w:r>
          </w:p>
        </w:tc>
        <w:tc>
          <w:tcPr>
            <w:tcW w:w="851" w:type="dxa"/>
            <w:vMerge w:val="continue"/>
            <w:vAlign w:val="center"/>
          </w:tcPr>
          <w:p>
            <w:pPr>
              <w:jc w:val="center"/>
              <w:textAlignment w:val="center"/>
              <w:rPr>
                <w:rFonts w:ascii="宋体" w:hAnsi="宋体" w:cs="宋体"/>
                <w:kern w:val="0"/>
                <w:sz w:val="18"/>
                <w:szCs w:val="18"/>
              </w:rPr>
            </w:pPr>
          </w:p>
        </w:tc>
        <w:tc>
          <w:tcPr>
            <w:tcW w:w="1123" w:type="dxa"/>
            <w:vMerge w:val="continue"/>
            <w:vAlign w:val="center"/>
          </w:tcPr>
          <w:p>
            <w:pPr>
              <w:widowControl/>
              <w:jc w:val="center"/>
              <w:textAlignment w:val="center"/>
              <w:rPr>
                <w:sz w:val="18"/>
                <w:szCs w:val="18"/>
              </w:rPr>
            </w:pPr>
          </w:p>
        </w:tc>
        <w:tc>
          <w:tcPr>
            <w:tcW w:w="1701" w:type="dxa"/>
            <w:vAlign w:val="center"/>
          </w:tcPr>
          <w:p>
            <w:pPr>
              <w:widowControl/>
              <w:jc w:val="center"/>
              <w:textAlignment w:val="center"/>
              <w:rPr>
                <w:rFonts w:ascii="黑体" w:hAnsi="黑体" w:eastAsia="黑体" w:cs="黑体"/>
                <w:b/>
                <w:kern w:val="0"/>
                <w:sz w:val="20"/>
                <w:szCs w:val="16"/>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黑体" w:hAnsi="黑体" w:eastAsia="黑体" w:cs="黑体"/>
                <w:b/>
                <w:kern w:val="0"/>
                <w:sz w:val="20"/>
                <w:szCs w:val="21"/>
                <w:lang w:val="en-US" w:eastAsia="zh-CN"/>
              </w:rPr>
            </w:pPr>
            <w:r>
              <w:rPr>
                <w:rFonts w:hint="eastAsia" w:ascii="黑体" w:hAnsi="黑体" w:eastAsia="黑体" w:cs="黑体"/>
                <w:b/>
                <w:kern w:val="0"/>
                <w:sz w:val="20"/>
                <w:szCs w:val="21"/>
                <w:lang w:val="en-US" w:eastAsia="zh-CN"/>
              </w:rPr>
              <w:t>3*95+2*50</w:t>
            </w:r>
          </w:p>
        </w:tc>
        <w:tc>
          <w:tcPr>
            <w:tcW w:w="783" w:type="dxa"/>
            <w:vAlign w:val="center"/>
          </w:tcPr>
          <w:p>
            <w:pPr>
              <w:widowControl/>
              <w:spacing w:before="100" w:beforeAutospacing="1" w:after="100" w:afterAutospacing="1" w:line="90" w:lineRule="atLeast"/>
              <w:jc w:val="center"/>
              <w:rPr>
                <w:rFonts w:ascii="黑体" w:hAnsi="黑体" w:eastAsia="黑体" w:cs="黑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黑体" w:hAnsi="黑体" w:eastAsia="黑体" w:cs="黑体"/>
                <w:kern w:val="0"/>
                <w:sz w:val="16"/>
                <w:szCs w:val="16"/>
                <w:lang w:val="en-US" w:eastAsia="zh-CN"/>
              </w:rPr>
            </w:pPr>
            <w:r>
              <w:rPr>
                <w:rFonts w:hint="eastAsia" w:ascii="黑体" w:hAnsi="黑体" w:eastAsia="黑体" w:cs="黑体"/>
                <w:kern w:val="0"/>
                <w:sz w:val="16"/>
                <w:szCs w:val="16"/>
                <w:lang w:val="en-US" w:eastAsia="zh-CN"/>
              </w:rPr>
              <w:t>1000</w:t>
            </w:r>
          </w:p>
        </w:tc>
        <w:tc>
          <w:tcPr>
            <w:tcW w:w="1133" w:type="dxa"/>
            <w:vMerge w:val="continue"/>
            <w:vAlign w:val="center"/>
          </w:tcPr>
          <w:p>
            <w:pPr>
              <w:adjustRightInd w:val="0"/>
              <w:snapToGrid w:val="0"/>
              <w:jc w:val="center"/>
              <w:rPr>
                <w:rFonts w:ascii="宋体" w:hAnsi="宋体" w:cs="宋体"/>
                <w:kern w:val="0"/>
                <w:sz w:val="18"/>
                <w:szCs w:val="18"/>
              </w:rPr>
            </w:pPr>
          </w:p>
        </w:tc>
        <w:tc>
          <w:tcPr>
            <w:tcW w:w="877"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994" w:type="dxa"/>
            <w:vMerge w:val="continue"/>
            <w:tcBorders>
              <w:right w:val="single" w:color="auto" w:sz="4" w:space="0"/>
            </w:tcBorders>
            <w:vAlign w:val="center"/>
          </w:tcPr>
          <w:p>
            <w:pPr>
              <w:adjustRightInd w:val="0"/>
              <w:snapToGrid w:val="0"/>
              <w:jc w:val="center"/>
              <w:rPr>
                <w:rFonts w:ascii="宋体" w:hAnsi="宋体" w:cs="宋体"/>
                <w:kern w:val="0"/>
                <w:sz w:val="18"/>
                <w:szCs w:val="18"/>
              </w:rPr>
            </w:pPr>
          </w:p>
        </w:tc>
        <w:tc>
          <w:tcPr>
            <w:tcW w:w="946" w:type="dxa"/>
            <w:vMerge w:val="continue"/>
            <w:tcBorders>
              <w:left w:val="single" w:color="auto" w:sz="4" w:space="0"/>
            </w:tcBorders>
            <w:vAlign w:val="center"/>
          </w:tcPr>
          <w:p>
            <w:pPr>
              <w:adjustRightInd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4</w:t>
            </w:r>
          </w:p>
        </w:tc>
        <w:tc>
          <w:tcPr>
            <w:tcW w:w="851" w:type="dxa"/>
            <w:vMerge w:val="continue"/>
            <w:vAlign w:val="center"/>
          </w:tcPr>
          <w:p>
            <w:pPr>
              <w:jc w:val="center"/>
              <w:textAlignment w:val="center"/>
              <w:rPr>
                <w:rFonts w:ascii="宋体" w:hAnsi="宋体" w:cs="宋体"/>
                <w:kern w:val="0"/>
                <w:sz w:val="18"/>
                <w:szCs w:val="18"/>
              </w:rPr>
            </w:pPr>
          </w:p>
        </w:tc>
        <w:tc>
          <w:tcPr>
            <w:tcW w:w="1123" w:type="dxa"/>
            <w:vMerge w:val="continue"/>
            <w:vAlign w:val="center"/>
          </w:tcPr>
          <w:p>
            <w:pPr>
              <w:widowControl/>
              <w:jc w:val="center"/>
              <w:textAlignment w:val="center"/>
              <w:rPr>
                <w:rFonts w:ascii="宋体" w:hAnsi="宋体" w:cs="宋体"/>
                <w:kern w:val="0"/>
                <w:sz w:val="18"/>
                <w:szCs w:val="18"/>
              </w:rPr>
            </w:pPr>
          </w:p>
        </w:tc>
        <w:tc>
          <w:tcPr>
            <w:tcW w:w="1701" w:type="dxa"/>
            <w:vAlign w:val="center"/>
          </w:tcPr>
          <w:p>
            <w:pPr>
              <w:widowControl/>
              <w:jc w:val="center"/>
              <w:textAlignment w:val="center"/>
              <w:rPr>
                <w:rFonts w:ascii="黑体" w:hAnsi="黑体" w:eastAsia="黑体" w:cs="黑体"/>
                <w:b/>
                <w:color w:val="636363"/>
                <w:kern w:val="0"/>
                <w:sz w:val="20"/>
                <w:szCs w:val="16"/>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黑体" w:hAnsi="黑体" w:eastAsia="黑体" w:cs="黑体"/>
                <w:b/>
                <w:color w:val="636363"/>
                <w:kern w:val="0"/>
                <w:sz w:val="20"/>
                <w:szCs w:val="21"/>
                <w:lang w:val="en-US" w:eastAsia="zh-CN"/>
              </w:rPr>
            </w:pPr>
            <w:r>
              <w:rPr>
                <w:rFonts w:hint="eastAsia" w:ascii="黑体" w:hAnsi="黑体" w:eastAsia="黑体" w:cs="黑体"/>
                <w:b/>
                <w:kern w:val="0"/>
                <w:sz w:val="20"/>
                <w:szCs w:val="21"/>
                <w:lang w:val="en-US" w:eastAsia="zh-CN"/>
              </w:rPr>
              <w:t>3*70+2*35</w:t>
            </w:r>
          </w:p>
        </w:tc>
        <w:tc>
          <w:tcPr>
            <w:tcW w:w="783" w:type="dxa"/>
            <w:vAlign w:val="center"/>
          </w:tcPr>
          <w:p>
            <w:pPr>
              <w:widowControl/>
              <w:spacing w:before="100" w:beforeAutospacing="1" w:after="100" w:afterAutospacing="1" w:line="90" w:lineRule="atLeast"/>
              <w:jc w:val="center"/>
              <w:rPr>
                <w:rFonts w:ascii="黑体" w:hAnsi="黑体" w:eastAsia="黑体" w:cs="黑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黑体" w:hAnsi="黑体" w:eastAsia="黑体" w:cs="黑体"/>
                <w:color w:val="636363"/>
                <w:kern w:val="0"/>
                <w:sz w:val="16"/>
                <w:szCs w:val="16"/>
                <w:lang w:val="en-US" w:eastAsia="zh-CN"/>
              </w:rPr>
            </w:pPr>
            <w:r>
              <w:rPr>
                <w:rFonts w:hint="eastAsia" w:ascii="黑体" w:hAnsi="黑体" w:eastAsia="黑体" w:cs="黑体"/>
                <w:color w:val="636363"/>
                <w:kern w:val="0"/>
                <w:sz w:val="16"/>
                <w:szCs w:val="16"/>
                <w:lang w:val="en-US" w:eastAsia="zh-CN"/>
              </w:rPr>
              <w:t>1000</w:t>
            </w:r>
          </w:p>
        </w:tc>
        <w:tc>
          <w:tcPr>
            <w:tcW w:w="1133" w:type="dxa"/>
            <w:vMerge w:val="continue"/>
            <w:vAlign w:val="center"/>
          </w:tcPr>
          <w:p>
            <w:pPr>
              <w:adjustRightInd w:val="0"/>
              <w:snapToGrid w:val="0"/>
              <w:jc w:val="center"/>
              <w:rPr>
                <w:rFonts w:ascii="宋体" w:hAnsi="宋体" w:cs="宋体"/>
                <w:kern w:val="0"/>
                <w:sz w:val="18"/>
                <w:szCs w:val="18"/>
              </w:rPr>
            </w:pPr>
          </w:p>
        </w:tc>
        <w:tc>
          <w:tcPr>
            <w:tcW w:w="877"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994" w:type="dxa"/>
            <w:vMerge w:val="continue"/>
            <w:tcBorders>
              <w:right w:val="single" w:color="auto" w:sz="4" w:space="0"/>
            </w:tcBorders>
            <w:vAlign w:val="center"/>
          </w:tcPr>
          <w:p>
            <w:pPr>
              <w:adjustRightInd w:val="0"/>
              <w:snapToGrid w:val="0"/>
              <w:jc w:val="center"/>
              <w:rPr>
                <w:rFonts w:ascii="宋体" w:hAnsi="宋体" w:cs="宋体"/>
                <w:kern w:val="0"/>
                <w:sz w:val="18"/>
                <w:szCs w:val="18"/>
              </w:rPr>
            </w:pPr>
          </w:p>
        </w:tc>
        <w:tc>
          <w:tcPr>
            <w:tcW w:w="946" w:type="dxa"/>
            <w:vMerge w:val="continue"/>
            <w:tcBorders>
              <w:left w:val="single" w:color="auto" w:sz="4" w:space="0"/>
            </w:tcBorders>
            <w:vAlign w:val="center"/>
          </w:tcPr>
          <w:p>
            <w:pPr>
              <w:adjustRightInd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5</w:t>
            </w:r>
          </w:p>
        </w:tc>
        <w:tc>
          <w:tcPr>
            <w:tcW w:w="851" w:type="dxa"/>
            <w:vMerge w:val="continue"/>
            <w:vAlign w:val="center"/>
          </w:tcPr>
          <w:p>
            <w:pPr>
              <w:jc w:val="center"/>
              <w:textAlignment w:val="center"/>
              <w:rPr>
                <w:rFonts w:ascii="宋体" w:hAnsi="宋体" w:cs="宋体"/>
                <w:kern w:val="0"/>
                <w:sz w:val="18"/>
                <w:szCs w:val="18"/>
              </w:rPr>
            </w:pPr>
          </w:p>
        </w:tc>
        <w:tc>
          <w:tcPr>
            <w:tcW w:w="1123" w:type="dxa"/>
            <w:vMerge w:val="continue"/>
            <w:vAlign w:val="center"/>
          </w:tcPr>
          <w:p>
            <w:pPr>
              <w:widowControl/>
              <w:jc w:val="center"/>
              <w:textAlignment w:val="center"/>
              <w:rPr>
                <w:rFonts w:ascii="宋体" w:hAnsi="宋体" w:cs="宋体"/>
                <w:kern w:val="0"/>
                <w:sz w:val="18"/>
                <w:szCs w:val="18"/>
              </w:rPr>
            </w:pPr>
          </w:p>
        </w:tc>
        <w:tc>
          <w:tcPr>
            <w:tcW w:w="1701" w:type="dxa"/>
            <w:vAlign w:val="center"/>
          </w:tcPr>
          <w:p>
            <w:pPr>
              <w:widowControl/>
              <w:jc w:val="center"/>
              <w:textAlignment w:val="center"/>
              <w:rPr>
                <w:rFonts w:hint="eastAsia" w:ascii="ˎ̥" w:hAnsi="ˎ̥" w:cs="宋体"/>
                <w:b/>
                <w:color w:val="636363"/>
                <w:kern w:val="0"/>
                <w:sz w:val="20"/>
                <w:szCs w:val="18"/>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ˎ̥" w:hAnsi="ˎ̥" w:eastAsia="宋体" w:cs="宋体"/>
                <w:b/>
                <w:color w:val="636363"/>
                <w:kern w:val="0"/>
                <w:sz w:val="20"/>
                <w:szCs w:val="21"/>
                <w:lang w:val="en-US" w:eastAsia="zh-CN"/>
              </w:rPr>
            </w:pPr>
            <w:r>
              <w:rPr>
                <w:rFonts w:hint="eastAsia" w:ascii="黑体" w:hAnsi="黑体" w:eastAsia="黑体" w:cs="黑体"/>
                <w:b/>
                <w:kern w:val="0"/>
                <w:sz w:val="20"/>
                <w:szCs w:val="21"/>
                <w:lang w:val="en-US" w:eastAsia="zh-CN"/>
              </w:rPr>
              <w:t>3*50+2*25</w:t>
            </w:r>
          </w:p>
        </w:tc>
        <w:tc>
          <w:tcPr>
            <w:tcW w:w="783" w:type="dxa"/>
            <w:vAlign w:val="center"/>
          </w:tcPr>
          <w:p>
            <w:pPr>
              <w:widowControl/>
              <w:jc w:val="center"/>
              <w:textAlignment w:val="center"/>
              <w:rPr>
                <w:rFonts w:ascii="宋体" w:hAnsi="宋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4000</w:t>
            </w:r>
          </w:p>
        </w:tc>
        <w:tc>
          <w:tcPr>
            <w:tcW w:w="1133" w:type="dxa"/>
            <w:vMerge w:val="continue"/>
            <w:vAlign w:val="center"/>
          </w:tcPr>
          <w:p>
            <w:pPr>
              <w:adjustRightInd w:val="0"/>
              <w:snapToGrid w:val="0"/>
              <w:jc w:val="center"/>
              <w:rPr>
                <w:rFonts w:ascii="宋体" w:hAnsi="宋体" w:cs="宋体"/>
                <w:kern w:val="0"/>
                <w:sz w:val="18"/>
                <w:szCs w:val="18"/>
              </w:rPr>
            </w:pPr>
          </w:p>
        </w:tc>
        <w:tc>
          <w:tcPr>
            <w:tcW w:w="877"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994" w:type="dxa"/>
            <w:vMerge w:val="continue"/>
            <w:tcBorders>
              <w:right w:val="single" w:color="auto" w:sz="4" w:space="0"/>
            </w:tcBorders>
            <w:vAlign w:val="center"/>
          </w:tcPr>
          <w:p>
            <w:pPr>
              <w:adjustRightInd w:val="0"/>
              <w:snapToGrid w:val="0"/>
              <w:jc w:val="center"/>
              <w:rPr>
                <w:rFonts w:ascii="宋体" w:hAnsi="宋体" w:cs="宋体"/>
                <w:kern w:val="0"/>
                <w:sz w:val="18"/>
                <w:szCs w:val="18"/>
              </w:rPr>
            </w:pPr>
          </w:p>
        </w:tc>
        <w:tc>
          <w:tcPr>
            <w:tcW w:w="946" w:type="dxa"/>
            <w:vMerge w:val="continue"/>
            <w:tcBorders>
              <w:left w:val="single" w:color="auto" w:sz="4" w:space="0"/>
            </w:tcBorders>
            <w:vAlign w:val="center"/>
          </w:tcPr>
          <w:p>
            <w:pPr>
              <w:adjustRightInd w:val="0"/>
              <w:snapToGrid w:val="0"/>
              <w:jc w:val="center"/>
              <w:rPr>
                <w:rFonts w:ascii="宋体" w:hAnsi="宋体" w:cs="宋体"/>
                <w:kern w:val="0"/>
                <w:sz w:val="18"/>
                <w:szCs w:val="18"/>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10" w:hRule="exact"/>
          <w:jc w:val="center"/>
        </w:trPr>
        <w:tc>
          <w:tcPr>
            <w:tcW w:w="851" w:type="dxa"/>
            <w:vAlign w:val="center"/>
          </w:tcPr>
          <w:p>
            <w:pPr>
              <w:widowControl/>
              <w:jc w:val="center"/>
              <w:textAlignment w:val="center"/>
              <w:rPr>
                <w:rFonts w:ascii="宋体" w:hAnsi="宋体" w:cs="宋体"/>
                <w:kern w:val="0"/>
                <w:sz w:val="18"/>
                <w:szCs w:val="18"/>
              </w:rPr>
            </w:pPr>
            <w:r>
              <w:rPr>
                <w:rFonts w:ascii="Calibri" w:hAnsi="Calibri" w:cs="Calibri"/>
                <w:kern w:val="0"/>
                <w:sz w:val="20"/>
                <w:szCs w:val="20"/>
              </w:rPr>
              <w:t>6</w:t>
            </w:r>
          </w:p>
        </w:tc>
        <w:tc>
          <w:tcPr>
            <w:tcW w:w="851" w:type="dxa"/>
            <w:vMerge w:val="continue"/>
            <w:vAlign w:val="center"/>
          </w:tcPr>
          <w:p>
            <w:pPr>
              <w:jc w:val="center"/>
              <w:textAlignment w:val="center"/>
              <w:rPr>
                <w:rFonts w:ascii="宋体" w:hAnsi="宋体" w:cs="宋体"/>
                <w:kern w:val="0"/>
                <w:sz w:val="18"/>
                <w:szCs w:val="18"/>
              </w:rPr>
            </w:pPr>
          </w:p>
        </w:tc>
        <w:tc>
          <w:tcPr>
            <w:tcW w:w="1123" w:type="dxa"/>
            <w:vMerge w:val="continue"/>
            <w:vAlign w:val="center"/>
          </w:tcPr>
          <w:p>
            <w:pPr>
              <w:widowControl/>
              <w:jc w:val="center"/>
              <w:textAlignment w:val="center"/>
              <w:rPr>
                <w:rFonts w:ascii="宋体" w:hAnsi="宋体" w:cs="宋体"/>
                <w:kern w:val="0"/>
                <w:sz w:val="18"/>
                <w:szCs w:val="18"/>
              </w:rPr>
            </w:pPr>
          </w:p>
        </w:tc>
        <w:tc>
          <w:tcPr>
            <w:tcW w:w="1701" w:type="dxa"/>
            <w:vAlign w:val="center"/>
          </w:tcPr>
          <w:p>
            <w:pPr>
              <w:widowControl/>
              <w:jc w:val="center"/>
              <w:textAlignment w:val="center"/>
              <w:rPr>
                <w:rFonts w:hint="eastAsia" w:ascii="ˎ̥" w:hAnsi="ˎ̥" w:cs="宋体"/>
                <w:b/>
                <w:color w:val="636363"/>
                <w:kern w:val="0"/>
                <w:sz w:val="20"/>
                <w:szCs w:val="18"/>
              </w:rPr>
            </w:pPr>
            <w:r>
              <w:rPr>
                <w:rFonts w:hint="eastAsia" w:ascii="黑体" w:hAnsi="黑体" w:eastAsia="黑体" w:cs="黑体"/>
                <w:b/>
                <w:kern w:val="0"/>
                <w:sz w:val="20"/>
                <w:szCs w:val="16"/>
                <w:lang w:eastAsia="zh-CN"/>
              </w:rPr>
              <w:t>铝</w:t>
            </w:r>
            <w:r>
              <w:rPr>
                <w:rFonts w:hint="eastAsia" w:ascii="黑体" w:hAnsi="黑体" w:eastAsia="黑体" w:cs="黑体"/>
                <w:b/>
                <w:kern w:val="0"/>
                <w:sz w:val="20"/>
                <w:szCs w:val="16"/>
              </w:rPr>
              <w:t>电缆</w:t>
            </w:r>
          </w:p>
        </w:tc>
        <w:tc>
          <w:tcPr>
            <w:tcW w:w="1960" w:type="dxa"/>
            <w:vAlign w:val="center"/>
          </w:tcPr>
          <w:p>
            <w:pPr>
              <w:widowControl/>
              <w:jc w:val="center"/>
              <w:textAlignment w:val="center"/>
              <w:rPr>
                <w:rFonts w:hint="default" w:ascii="ˎ̥" w:hAnsi="ˎ̥" w:eastAsia="宋体" w:cs="宋体"/>
                <w:b/>
                <w:color w:val="636363"/>
                <w:kern w:val="0"/>
                <w:sz w:val="20"/>
                <w:szCs w:val="21"/>
                <w:lang w:val="en-US" w:eastAsia="zh-CN"/>
              </w:rPr>
            </w:pPr>
            <w:r>
              <w:rPr>
                <w:rFonts w:hint="eastAsia" w:ascii="黑体" w:hAnsi="黑体" w:eastAsia="黑体" w:cs="黑体"/>
                <w:b/>
                <w:kern w:val="0"/>
                <w:sz w:val="20"/>
                <w:szCs w:val="21"/>
                <w:lang w:val="en-US" w:eastAsia="zh-CN"/>
              </w:rPr>
              <w:t>3*35+2*16</w:t>
            </w:r>
          </w:p>
        </w:tc>
        <w:tc>
          <w:tcPr>
            <w:tcW w:w="783" w:type="dxa"/>
            <w:vAlign w:val="center"/>
          </w:tcPr>
          <w:p>
            <w:pPr>
              <w:widowControl/>
              <w:jc w:val="center"/>
              <w:textAlignment w:val="center"/>
              <w:rPr>
                <w:rFonts w:ascii="宋体" w:hAnsi="宋体"/>
                <w:kern w:val="0"/>
                <w:sz w:val="20"/>
                <w:szCs w:val="20"/>
              </w:rPr>
            </w:pPr>
            <w:r>
              <w:rPr>
                <w:rFonts w:hint="eastAsia" w:ascii="黑体" w:hAnsi="黑体" w:eastAsia="黑体" w:cs="黑体"/>
                <w:kern w:val="0"/>
                <w:sz w:val="20"/>
                <w:szCs w:val="20"/>
              </w:rPr>
              <w:t>米</w:t>
            </w:r>
          </w:p>
        </w:tc>
        <w:tc>
          <w:tcPr>
            <w:tcW w:w="917" w:type="dxa"/>
            <w:vAlign w:val="center"/>
          </w:tcPr>
          <w:p>
            <w:pPr>
              <w:widowControl/>
              <w:jc w:val="center"/>
              <w:textAlignment w:val="center"/>
              <w:rPr>
                <w:rFonts w:hint="default" w:ascii="ˎ̥" w:hAnsi="ˎ̥" w:eastAsia="宋体" w:cs="宋体"/>
                <w:color w:val="636363"/>
                <w:kern w:val="0"/>
                <w:sz w:val="18"/>
                <w:szCs w:val="18"/>
                <w:lang w:val="en-US" w:eastAsia="zh-CN"/>
              </w:rPr>
            </w:pPr>
            <w:r>
              <w:rPr>
                <w:rFonts w:hint="eastAsia" w:ascii="ˎ̥" w:hAnsi="ˎ̥" w:cs="宋体"/>
                <w:color w:val="636363"/>
                <w:kern w:val="0"/>
                <w:sz w:val="18"/>
                <w:szCs w:val="18"/>
                <w:lang w:val="en-US" w:eastAsia="zh-CN"/>
              </w:rPr>
              <w:t>600</w:t>
            </w:r>
          </w:p>
        </w:tc>
        <w:tc>
          <w:tcPr>
            <w:tcW w:w="1133" w:type="dxa"/>
            <w:vMerge w:val="continue"/>
            <w:vAlign w:val="center"/>
          </w:tcPr>
          <w:p>
            <w:pPr>
              <w:adjustRightInd w:val="0"/>
              <w:snapToGrid w:val="0"/>
              <w:jc w:val="center"/>
              <w:rPr>
                <w:rFonts w:ascii="宋体" w:hAnsi="宋体" w:cs="宋体"/>
                <w:kern w:val="0"/>
                <w:sz w:val="18"/>
                <w:szCs w:val="18"/>
              </w:rPr>
            </w:pPr>
          </w:p>
        </w:tc>
        <w:tc>
          <w:tcPr>
            <w:tcW w:w="877"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1134" w:type="dxa"/>
            <w:vMerge w:val="continue"/>
            <w:vAlign w:val="center"/>
          </w:tcPr>
          <w:p>
            <w:pPr>
              <w:adjustRightInd w:val="0"/>
              <w:snapToGrid w:val="0"/>
              <w:jc w:val="center"/>
              <w:rPr>
                <w:rFonts w:ascii="宋体" w:hAnsi="宋体" w:cs="宋体"/>
                <w:kern w:val="0"/>
                <w:sz w:val="18"/>
                <w:szCs w:val="18"/>
              </w:rPr>
            </w:pPr>
          </w:p>
        </w:tc>
        <w:tc>
          <w:tcPr>
            <w:tcW w:w="994" w:type="dxa"/>
            <w:vMerge w:val="continue"/>
            <w:tcBorders>
              <w:right w:val="single" w:color="auto" w:sz="4" w:space="0"/>
            </w:tcBorders>
            <w:vAlign w:val="center"/>
          </w:tcPr>
          <w:p>
            <w:pPr>
              <w:adjustRightInd w:val="0"/>
              <w:snapToGrid w:val="0"/>
              <w:jc w:val="center"/>
              <w:rPr>
                <w:rFonts w:ascii="宋体" w:hAnsi="宋体" w:cs="宋体"/>
                <w:kern w:val="0"/>
                <w:sz w:val="18"/>
                <w:szCs w:val="18"/>
              </w:rPr>
            </w:pPr>
          </w:p>
        </w:tc>
        <w:tc>
          <w:tcPr>
            <w:tcW w:w="946" w:type="dxa"/>
            <w:vMerge w:val="continue"/>
            <w:tcBorders>
              <w:left w:val="single" w:color="auto" w:sz="4" w:space="0"/>
            </w:tcBorders>
            <w:vAlign w:val="center"/>
          </w:tcPr>
          <w:p>
            <w:pPr>
              <w:adjustRightInd w:val="0"/>
              <w:snapToGrid w:val="0"/>
              <w:jc w:val="center"/>
              <w:rPr>
                <w:rFonts w:ascii="宋体" w:hAnsi="宋体" w:cs="宋体"/>
                <w:kern w:val="0"/>
                <w:sz w:val="18"/>
                <w:szCs w:val="18"/>
              </w:rPr>
            </w:pPr>
          </w:p>
        </w:tc>
      </w:tr>
    </w:tbl>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center"/>
        <w:rPr>
          <w:b/>
          <w:sz w:val="24"/>
        </w:rPr>
      </w:pPr>
    </w:p>
    <w:p>
      <w:pPr>
        <w:jc w:val="both"/>
        <w:rPr>
          <w:b/>
          <w:sz w:val="24"/>
        </w:rPr>
      </w:pPr>
    </w:p>
    <w:p>
      <w:pPr>
        <w:jc w:val="both"/>
        <w:rPr>
          <w:b/>
          <w:sz w:val="24"/>
        </w:rPr>
        <w:sectPr>
          <w:headerReference r:id="rId19" w:type="default"/>
          <w:pgSz w:w="16839" w:h="11907" w:orient="landscape"/>
          <w:pgMar w:top="2098" w:right="1474" w:bottom="1985" w:left="1588" w:header="851" w:footer="851" w:gutter="0"/>
          <w:cols w:space="720" w:num="1"/>
          <w:docGrid w:linePitch="312" w:charSpace="0"/>
        </w:sectPr>
      </w:pPr>
    </w:p>
    <w:p>
      <w:pPr>
        <w:pStyle w:val="48"/>
        <w:tabs>
          <w:tab w:val="left" w:pos="993"/>
        </w:tabs>
        <w:spacing w:beforeLines="100" w:afterLines="100" w:line="300" w:lineRule="auto"/>
        <w:ind w:firstLine="0" w:firstLineChars="0"/>
        <w:jc w:val="center"/>
        <w:outlineLvl w:val="0"/>
        <w:rPr>
          <w:rFonts w:ascii="黑体" w:hAnsi="黑体" w:eastAsia="黑体" w:cs="宋体"/>
          <w:b/>
          <w:bCs/>
          <w:sz w:val="52"/>
          <w:szCs w:val="52"/>
        </w:rPr>
      </w:pPr>
      <w:bookmarkStart w:id="398" w:name="_Toc24525"/>
      <w:r>
        <w:rPr>
          <w:rFonts w:hint="eastAsia" w:ascii="黑体" w:hAnsi="黑体" w:eastAsia="黑体" w:cs="宋体"/>
          <w:b/>
          <w:bCs/>
          <w:sz w:val="52"/>
          <w:szCs w:val="52"/>
          <w:lang w:val="zh-CN"/>
        </w:rPr>
        <w:t>第三部分</w:t>
      </w:r>
      <w:r>
        <w:rPr>
          <w:rFonts w:hint="eastAsia" w:ascii="黑体" w:hAnsi="黑体" w:eastAsia="黑体" w:cs="宋体"/>
          <w:b/>
          <w:bCs/>
          <w:sz w:val="52"/>
          <w:szCs w:val="52"/>
        </w:rPr>
        <w:t xml:space="preserve">  技术规格书</w:t>
      </w:r>
      <w:bookmarkEnd w:id="398"/>
    </w:p>
    <w:p>
      <w:pPr>
        <w:pStyle w:val="77"/>
        <w:tabs>
          <w:tab w:val="left" w:pos="426"/>
        </w:tabs>
        <w:spacing w:line="300" w:lineRule="auto"/>
        <w:ind w:firstLine="482"/>
        <w:outlineLvl w:val="1"/>
        <w:rPr>
          <w:rFonts w:ascii="宋体" w:hAnsi="宋体"/>
          <w:b/>
          <w:sz w:val="24"/>
        </w:rPr>
      </w:pPr>
      <w:bookmarkStart w:id="399" w:name="_Toc28442"/>
      <w:r>
        <w:rPr>
          <w:rFonts w:hint="eastAsia" w:ascii="宋体" w:hAnsi="宋体"/>
          <w:b/>
          <w:sz w:val="24"/>
        </w:rPr>
        <w:t>一、招标物资名称及技术要求</w:t>
      </w:r>
      <w:bookmarkEnd w:id="399"/>
    </w:p>
    <w:p>
      <w:pPr>
        <w:pStyle w:val="77"/>
        <w:tabs>
          <w:tab w:val="left" w:pos="426"/>
        </w:tabs>
        <w:spacing w:line="300" w:lineRule="auto"/>
        <w:ind w:firstLine="480"/>
        <w:rPr>
          <w:rFonts w:ascii="宋体" w:hAnsi="宋体"/>
          <w:b/>
          <w:sz w:val="24"/>
        </w:rPr>
      </w:pPr>
      <w:r>
        <w:rPr>
          <w:rFonts w:hint="eastAsia" w:ascii="宋体" w:hAnsi="宋体"/>
          <w:bCs/>
          <w:sz w:val="24"/>
        </w:rPr>
        <w:t>满足国标等规范要求，具有出厂《合格证》，并经见证送检合格后，方可使用。</w:t>
      </w:r>
    </w:p>
    <w:p>
      <w:pPr>
        <w:pStyle w:val="77"/>
        <w:tabs>
          <w:tab w:val="left" w:pos="426"/>
        </w:tabs>
        <w:spacing w:line="300" w:lineRule="auto"/>
        <w:ind w:firstLine="482"/>
        <w:outlineLvl w:val="1"/>
        <w:rPr>
          <w:rFonts w:ascii="宋体" w:hAnsi="宋体"/>
          <w:b/>
          <w:sz w:val="24"/>
        </w:rPr>
      </w:pPr>
      <w:bookmarkStart w:id="400" w:name="_Toc15049"/>
      <w:r>
        <w:rPr>
          <w:rFonts w:hint="eastAsia" w:ascii="宋体" w:hAnsi="宋体"/>
          <w:b/>
          <w:sz w:val="24"/>
        </w:rPr>
        <w:t>二、投标人应提供的技术资料</w:t>
      </w:r>
      <w:bookmarkEnd w:id="400"/>
    </w:p>
    <w:p>
      <w:pPr>
        <w:spacing w:line="300" w:lineRule="auto"/>
        <w:ind w:firstLine="480" w:firstLineChars="200"/>
        <w:rPr>
          <w:rFonts w:ascii="宋体"/>
          <w:sz w:val="24"/>
        </w:rPr>
      </w:pPr>
      <w:r>
        <w:rPr>
          <w:rFonts w:hint="eastAsia" w:ascii="宋体" w:hAnsi="宋体"/>
          <w:sz w:val="24"/>
        </w:rPr>
        <w:t>合格证、产品质量检验证书。</w:t>
      </w:r>
    </w:p>
    <w:p>
      <w:pPr>
        <w:pStyle w:val="77"/>
        <w:tabs>
          <w:tab w:val="left" w:pos="426"/>
        </w:tabs>
        <w:spacing w:line="300" w:lineRule="auto"/>
        <w:ind w:firstLine="482"/>
        <w:outlineLvl w:val="1"/>
        <w:rPr>
          <w:rFonts w:ascii="宋体" w:hAnsi="宋体"/>
          <w:sz w:val="24"/>
        </w:rPr>
      </w:pPr>
      <w:bookmarkStart w:id="401" w:name="_Toc17131"/>
      <w:r>
        <w:rPr>
          <w:rFonts w:hint="eastAsia" w:ascii="宋体" w:hAnsi="宋体"/>
          <w:b/>
          <w:sz w:val="24"/>
        </w:rPr>
        <w:t>三、合同交货计划</w:t>
      </w:r>
      <w:bookmarkEnd w:id="401"/>
    </w:p>
    <w:p>
      <w:pPr>
        <w:spacing w:line="300" w:lineRule="auto"/>
        <w:ind w:firstLine="480" w:firstLineChars="200"/>
        <w:rPr>
          <w:rFonts w:ascii="宋体" w:hAnsi="宋体"/>
          <w:sz w:val="24"/>
        </w:rPr>
      </w:pPr>
      <w:r>
        <w:rPr>
          <w:rFonts w:hint="eastAsia" w:ascii="宋体" w:hAnsi="宋体"/>
          <w:sz w:val="24"/>
        </w:rPr>
        <w:t>合同交货期参考《物资需求一览表》，详细交货计划和具体供货时间由买方签约时提供。</w:t>
      </w:r>
    </w:p>
    <w:p>
      <w:pPr>
        <w:pStyle w:val="77"/>
        <w:tabs>
          <w:tab w:val="left" w:pos="426"/>
        </w:tabs>
        <w:spacing w:line="300" w:lineRule="auto"/>
        <w:ind w:firstLine="482"/>
        <w:outlineLvl w:val="1"/>
        <w:rPr>
          <w:rFonts w:ascii="宋体" w:hAnsi="宋体"/>
          <w:b/>
          <w:sz w:val="24"/>
        </w:rPr>
      </w:pPr>
      <w:bookmarkStart w:id="402" w:name="_Toc8485"/>
      <w:r>
        <w:rPr>
          <w:rFonts w:hint="eastAsia" w:ascii="宋体" w:hAnsi="宋体"/>
          <w:b/>
          <w:sz w:val="24"/>
        </w:rPr>
        <w:t>四、投标物资详细的运输和供应方案</w:t>
      </w:r>
      <w:bookmarkEnd w:id="402"/>
    </w:p>
    <w:p>
      <w:pPr>
        <w:pStyle w:val="77"/>
        <w:tabs>
          <w:tab w:val="left" w:pos="993"/>
        </w:tabs>
        <w:spacing w:line="300" w:lineRule="auto"/>
        <w:ind w:firstLine="480"/>
        <w:rPr>
          <w:rFonts w:ascii="宋体" w:hAnsi="宋体"/>
          <w:sz w:val="24"/>
        </w:rPr>
      </w:pPr>
      <w:r>
        <w:rPr>
          <w:rFonts w:hint="eastAsia" w:ascii="宋体" w:hAnsi="宋体"/>
          <w:sz w:val="24"/>
        </w:rPr>
        <w:t>（1）投标人交付的物资应分别按照合同要求交至指定的到货地点。</w:t>
      </w:r>
    </w:p>
    <w:p>
      <w:pPr>
        <w:pStyle w:val="77"/>
        <w:tabs>
          <w:tab w:val="left" w:pos="993"/>
        </w:tabs>
        <w:spacing w:line="300" w:lineRule="auto"/>
        <w:ind w:firstLine="480"/>
        <w:rPr>
          <w:rFonts w:ascii="宋体" w:hAnsi="宋体"/>
          <w:sz w:val="24"/>
        </w:rPr>
      </w:pPr>
      <w:r>
        <w:rPr>
          <w:rFonts w:hint="eastAsia" w:ascii="宋体" w:hAnsi="宋体"/>
          <w:sz w:val="24"/>
        </w:rPr>
        <w:t>（2）投标人应充分考虑和了解施工地点的地理位置和运输条件，采用合适有效的运输和货物交付方式，制定保证工程所需物资按时、按量供应的具体措施。</w:t>
      </w:r>
    </w:p>
    <w:p>
      <w:pPr>
        <w:pStyle w:val="77"/>
        <w:tabs>
          <w:tab w:val="left" w:pos="426"/>
        </w:tabs>
        <w:spacing w:line="300" w:lineRule="auto"/>
        <w:ind w:firstLine="482"/>
        <w:outlineLvl w:val="1"/>
        <w:rPr>
          <w:rFonts w:ascii="宋体" w:hAnsi="宋体"/>
          <w:b/>
          <w:sz w:val="24"/>
        </w:rPr>
      </w:pPr>
      <w:bookmarkStart w:id="403" w:name="_Toc14856"/>
      <w:r>
        <w:rPr>
          <w:rFonts w:hint="eastAsia" w:ascii="宋体" w:hAnsi="宋体"/>
          <w:b/>
          <w:sz w:val="24"/>
        </w:rPr>
        <w:t>五、验收要求</w:t>
      </w:r>
      <w:bookmarkEnd w:id="403"/>
    </w:p>
    <w:p>
      <w:pPr>
        <w:pStyle w:val="77"/>
        <w:tabs>
          <w:tab w:val="left" w:pos="426"/>
        </w:tabs>
        <w:spacing w:line="300" w:lineRule="auto"/>
        <w:ind w:firstLine="480"/>
        <w:rPr>
          <w:rFonts w:ascii="宋体" w:hAnsi="宋体"/>
          <w:b/>
          <w:sz w:val="24"/>
        </w:rPr>
      </w:pPr>
      <w:r>
        <w:rPr>
          <w:rFonts w:hint="eastAsia" w:ascii="宋体" w:hAnsi="宋体"/>
          <w:sz w:val="24"/>
        </w:rPr>
        <w:t>应于每次发货时提供该批次货物相应的检测报告、出厂合格证等质量文件随货同行，并保证标的物为本合同中约定品牌及生产厂家生产。</w:t>
      </w:r>
    </w:p>
    <w:p>
      <w:pPr>
        <w:pStyle w:val="77"/>
        <w:tabs>
          <w:tab w:val="left" w:pos="426"/>
        </w:tabs>
        <w:spacing w:line="300" w:lineRule="auto"/>
        <w:ind w:firstLine="482"/>
        <w:outlineLvl w:val="1"/>
        <w:rPr>
          <w:rFonts w:ascii="宋体" w:hAnsi="宋体"/>
          <w:b/>
          <w:sz w:val="24"/>
        </w:rPr>
      </w:pPr>
      <w:bookmarkStart w:id="404" w:name="_Toc20055"/>
      <w:r>
        <w:rPr>
          <w:rFonts w:hint="eastAsia" w:ascii="宋体" w:hAnsi="宋体"/>
          <w:b/>
          <w:sz w:val="24"/>
        </w:rPr>
        <w:t>六、质量保证期</w:t>
      </w:r>
      <w:bookmarkEnd w:id="404"/>
    </w:p>
    <w:p>
      <w:pPr>
        <w:pStyle w:val="48"/>
        <w:tabs>
          <w:tab w:val="left" w:pos="993"/>
        </w:tabs>
        <w:spacing w:line="300" w:lineRule="auto"/>
        <w:ind w:firstLine="480"/>
        <w:jc w:val="left"/>
        <w:rPr>
          <w:rFonts w:ascii="宋体" w:hAnsi="宋体"/>
          <w:kern w:val="0"/>
          <w:sz w:val="24"/>
        </w:rPr>
      </w:pPr>
      <w:r>
        <w:rPr>
          <w:rFonts w:hint="eastAsia" w:ascii="宋体" w:hAnsi="宋体"/>
          <w:kern w:val="0"/>
          <w:sz w:val="24"/>
        </w:rPr>
        <w:t>自物资交货验收合格之日起</w:t>
      </w:r>
      <w:r>
        <w:rPr>
          <w:rFonts w:hint="eastAsia" w:ascii="宋体" w:hAnsi="宋体"/>
          <w:kern w:val="0"/>
          <w:sz w:val="24"/>
          <w:u w:val="single"/>
        </w:rPr>
        <w:t xml:space="preserve">  3  </w:t>
      </w:r>
      <w:r>
        <w:rPr>
          <w:rFonts w:hint="eastAsia" w:ascii="宋体" w:hAnsi="宋体"/>
          <w:kern w:val="0"/>
          <w:sz w:val="24"/>
        </w:rPr>
        <w:t>个月。</w:t>
      </w:r>
    </w:p>
    <w:p>
      <w:pPr>
        <w:pStyle w:val="48"/>
        <w:tabs>
          <w:tab w:val="left" w:pos="993"/>
        </w:tabs>
        <w:spacing w:line="300" w:lineRule="auto"/>
        <w:ind w:firstLine="480"/>
        <w:jc w:val="left"/>
        <w:rPr>
          <w:rFonts w:ascii="宋体" w:hAnsi="宋体"/>
          <w:kern w:val="0"/>
          <w:sz w:val="24"/>
        </w:rPr>
      </w:pPr>
    </w:p>
    <w:p>
      <w:pPr>
        <w:pStyle w:val="48"/>
        <w:tabs>
          <w:tab w:val="left" w:pos="993"/>
        </w:tabs>
        <w:spacing w:line="300" w:lineRule="auto"/>
        <w:ind w:firstLine="1044"/>
        <w:jc w:val="left"/>
        <w:outlineLvl w:val="0"/>
        <w:rPr>
          <w:rFonts w:ascii="黑体" w:hAnsi="黑体" w:eastAsia="黑体" w:cs="宋体"/>
          <w:b/>
          <w:bCs/>
          <w:sz w:val="52"/>
          <w:szCs w:val="52"/>
        </w:rPr>
      </w:pPr>
      <w:r>
        <w:rPr>
          <w:rFonts w:hint="eastAsia" w:ascii="黑体" w:hAnsi="黑体" w:eastAsia="黑体" w:cs="宋体"/>
          <w:b/>
          <w:bCs/>
          <w:sz w:val="52"/>
          <w:szCs w:val="52"/>
        </w:rPr>
        <w:br w:type="page"/>
      </w:r>
    </w:p>
    <w:p>
      <w:pPr>
        <w:pStyle w:val="48"/>
        <w:tabs>
          <w:tab w:val="left" w:pos="993"/>
        </w:tabs>
        <w:spacing w:beforeLines="100" w:afterLines="100" w:line="300" w:lineRule="auto"/>
        <w:ind w:firstLine="0" w:firstLineChars="0"/>
        <w:jc w:val="center"/>
        <w:outlineLvl w:val="0"/>
        <w:rPr>
          <w:rFonts w:ascii="方正小标宋简体" w:hAnsi="宋体" w:eastAsia="方正小标宋简体"/>
          <w:sz w:val="44"/>
          <w:szCs w:val="44"/>
          <w:u w:val="single"/>
        </w:rPr>
      </w:pPr>
      <w:bookmarkStart w:id="405" w:name="_Toc18290"/>
      <w:r>
        <w:rPr>
          <w:rFonts w:hint="eastAsia" w:ascii="黑体" w:hAnsi="黑体" w:eastAsia="黑体" w:cs="宋体"/>
          <w:b/>
          <w:bCs/>
          <w:sz w:val="52"/>
          <w:szCs w:val="52"/>
          <w:lang w:val="zh-CN"/>
        </w:rPr>
        <w:t>第四部分</w:t>
      </w:r>
      <w:r>
        <w:rPr>
          <w:rFonts w:hint="eastAsia" w:ascii="黑体" w:hAnsi="黑体" w:eastAsia="黑体" w:cs="宋体"/>
          <w:b/>
          <w:bCs/>
          <w:sz w:val="52"/>
          <w:szCs w:val="52"/>
        </w:rPr>
        <w:t xml:space="preserve">  合同文件</w:t>
      </w:r>
      <w:bookmarkEnd w:id="405"/>
    </w:p>
    <w:p>
      <w:pPr>
        <w:spacing w:after="156" w:afterLines="50" w:line="400" w:lineRule="exact"/>
        <w:jc w:val="center"/>
        <w:rPr>
          <w:rFonts w:hint="eastAsia" w:ascii="方正小标宋简体" w:hAnsi="宋体" w:eastAsia="方正小标宋简体"/>
          <w:sz w:val="44"/>
          <w:szCs w:val="44"/>
          <w:u w:val="single"/>
        </w:rPr>
      </w:pPr>
      <w:bookmarkStart w:id="406" w:name="_Toc99874444"/>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400" w:lineRule="exact"/>
        <w:jc w:val="center"/>
        <w:rPr>
          <w:rFonts w:hint="eastAsia" w:ascii="方正小标宋简体" w:hAnsi="宋体" w:eastAsia="方正小标宋简体"/>
          <w:sz w:val="44"/>
          <w:szCs w:val="44"/>
          <w:u w:val="single"/>
        </w:rPr>
      </w:pPr>
    </w:p>
    <w:p>
      <w:pPr>
        <w:spacing w:after="156" w:afterLines="50" w:line="360" w:lineRule="auto"/>
        <w:jc w:val="center"/>
        <w:rPr>
          <w:rFonts w:hint="eastAsia" w:ascii="方正小标宋简体" w:hAnsi="宋体" w:eastAsia="方正小标宋简体"/>
          <w:sz w:val="44"/>
          <w:szCs w:val="44"/>
        </w:rPr>
      </w:pPr>
      <w:r>
        <w:rPr>
          <w:rFonts w:hint="eastAsia" w:ascii="方正小标宋简体" w:hAnsi="宋体" w:eastAsia="方正小标宋简体"/>
          <w:sz w:val="44"/>
          <w:szCs w:val="44"/>
        </w:rPr>
        <w:t>电线电缆采购合同</w:t>
      </w: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spacing w:after="156" w:afterLines="50" w:line="400" w:lineRule="exact"/>
        <w:jc w:val="center"/>
        <w:rPr>
          <w:rFonts w:hint="eastAsia" w:ascii="方正小标宋简体" w:hAnsi="宋体" w:eastAsia="方正小标宋简体"/>
          <w:sz w:val="44"/>
          <w:szCs w:val="44"/>
        </w:rPr>
      </w:pPr>
    </w:p>
    <w:p>
      <w:pPr>
        <w:tabs>
          <w:tab w:val="left" w:pos="7350"/>
        </w:tabs>
        <w:spacing w:after="156" w:afterLines="50" w:line="400" w:lineRule="exact"/>
        <w:jc w:val="center"/>
        <w:rPr>
          <w:rFonts w:hint="eastAsia" w:ascii="宋体" w:hAnsi="宋体"/>
          <w:b/>
          <w:sz w:val="32"/>
          <w:szCs w:val="32"/>
        </w:rPr>
      </w:pPr>
    </w:p>
    <w:p>
      <w:pPr>
        <w:tabs>
          <w:tab w:val="center" w:pos="7980"/>
        </w:tabs>
        <w:spacing w:after="156" w:afterLines="50" w:line="360" w:lineRule="auto"/>
        <w:ind w:firstLine="640" w:firstLineChars="200"/>
        <w:jc w:val="left"/>
        <w:rPr>
          <w:rFonts w:hint="eastAsia" w:ascii="仿宋_GB2312" w:hAnsi="宋体" w:eastAsia="仿宋_GB2312"/>
          <w:sz w:val="32"/>
          <w:szCs w:val="32"/>
          <w:u w:val="single"/>
        </w:rPr>
      </w:pPr>
      <w:r>
        <w:rPr>
          <w:rFonts w:hint="eastAsia" w:ascii="仿宋_GB2312" w:hAnsi="宋体" w:eastAsia="仿宋_GB2312"/>
          <w:sz w:val="32"/>
          <w:szCs w:val="32"/>
        </w:rPr>
        <w:t>甲    方</w:t>
      </w:r>
      <w:r>
        <w:rPr>
          <w:rFonts w:hint="eastAsia" w:ascii="仿宋_GB2312" w:hAnsi="宋体" w:eastAsia="仿宋_GB2312"/>
          <w:sz w:val="32"/>
          <w:szCs w:val="32"/>
          <w:u w:val="single"/>
        </w:rPr>
        <w:t>：</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ab/>
      </w:r>
    </w:p>
    <w:p>
      <w:pPr>
        <w:tabs>
          <w:tab w:val="center" w:pos="7980"/>
        </w:tabs>
        <w:spacing w:after="156" w:afterLines="50"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乙    方</w:t>
      </w:r>
      <w:r>
        <w:rPr>
          <w:rFonts w:hint="eastAsia" w:ascii="仿宋_GB2312" w:hAnsi="宋体" w:eastAsia="仿宋_GB2312"/>
          <w:sz w:val="32"/>
          <w:szCs w:val="32"/>
          <w:u w:val="single"/>
        </w:rPr>
        <w:t>：</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ab/>
      </w:r>
    </w:p>
    <w:p>
      <w:pPr>
        <w:tabs>
          <w:tab w:val="center" w:pos="7980"/>
        </w:tabs>
        <w:spacing w:after="156" w:afterLines="50"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合同编号</w:t>
      </w:r>
      <w:r>
        <w:rPr>
          <w:rFonts w:hint="eastAsia" w:ascii="仿宋_GB2312" w:hAnsi="宋体" w:eastAsia="仿宋_GB2312"/>
          <w:sz w:val="32"/>
          <w:szCs w:val="32"/>
          <w:u w:val="single"/>
        </w:rPr>
        <w:t>：</w:t>
      </w:r>
      <w:r>
        <w:rPr>
          <w:rFonts w:hint="eastAsia" w:ascii="仿宋_GB2312" w:hAnsi="宋体" w:eastAsia="仿宋_GB2312"/>
          <w:sz w:val="32"/>
          <w:szCs w:val="32"/>
          <w:u w:val="single"/>
          <w:lang w:val="en-US" w:eastAsia="zh-CN"/>
        </w:rPr>
        <w:t xml:space="preserve"> </w:t>
      </w:r>
      <w:r>
        <w:rPr>
          <w:rFonts w:hint="eastAsia" w:ascii="仿宋_GB2312" w:hAnsi="宋体" w:eastAsia="仿宋_GB2312"/>
          <w:sz w:val="32"/>
          <w:szCs w:val="32"/>
          <w:u w:val="single"/>
        </w:rPr>
        <w:tab/>
      </w:r>
    </w:p>
    <w:p>
      <w:pPr>
        <w:tabs>
          <w:tab w:val="center" w:pos="7980"/>
        </w:tabs>
        <w:spacing w:after="156" w:afterLines="50" w:line="360" w:lineRule="auto"/>
        <w:ind w:firstLine="640" w:firstLineChars="200"/>
        <w:jc w:val="left"/>
        <w:rPr>
          <w:rFonts w:hint="eastAsia" w:ascii="仿宋_GB2312" w:hAnsi="宋体" w:eastAsia="仿宋_GB2312"/>
          <w:sz w:val="32"/>
          <w:szCs w:val="32"/>
        </w:rPr>
      </w:pPr>
      <w:r>
        <w:rPr>
          <w:rFonts w:hint="eastAsia" w:ascii="仿宋_GB2312" w:hAnsi="宋体" w:eastAsia="仿宋_GB2312"/>
          <w:sz w:val="32"/>
          <w:szCs w:val="32"/>
        </w:rPr>
        <w:t>签约时间</w:t>
      </w:r>
      <w:r>
        <w:rPr>
          <w:rFonts w:hint="eastAsia" w:ascii="仿宋_GB2312" w:hAnsi="宋体" w:eastAsia="仿宋_GB2312"/>
          <w:sz w:val="32"/>
          <w:szCs w:val="32"/>
          <w:u w:val="single"/>
        </w:rPr>
        <w:t>：</w:t>
      </w:r>
      <w:r>
        <w:rPr>
          <w:rFonts w:hint="eastAsia" w:ascii="仿宋_GB2312" w:hAnsi="宋体" w:eastAsia="仿宋_GB2312"/>
          <w:sz w:val="32"/>
          <w:szCs w:val="32"/>
          <w:u w:val="single"/>
        </w:rPr>
        <w:tab/>
      </w:r>
    </w:p>
    <w:p>
      <w:pPr>
        <w:tabs>
          <w:tab w:val="center" w:pos="7980"/>
        </w:tabs>
        <w:spacing w:after="156" w:afterLines="50" w:line="360" w:lineRule="auto"/>
        <w:ind w:firstLine="640" w:firstLineChars="200"/>
        <w:jc w:val="left"/>
        <w:rPr>
          <w:rFonts w:hint="default" w:ascii="仿宋_GB2312" w:hAnsi="宋体" w:eastAsia="仿宋_GB2312"/>
          <w:sz w:val="32"/>
          <w:szCs w:val="32"/>
          <w:u w:val="single"/>
          <w:lang w:val="en-US" w:eastAsia="zh-CN"/>
        </w:rPr>
      </w:pPr>
      <w:r>
        <w:rPr>
          <w:rFonts w:hint="eastAsia" w:ascii="仿宋_GB2312" w:hAnsi="宋体" w:eastAsia="仿宋_GB2312"/>
          <w:sz w:val="32"/>
          <w:szCs w:val="32"/>
        </w:rPr>
        <w:t>签约地点</w:t>
      </w:r>
      <w:r>
        <w:rPr>
          <w:rFonts w:hint="eastAsia" w:ascii="仿宋_GB2312" w:hAnsi="宋体" w:eastAsia="仿宋_GB2312"/>
          <w:sz w:val="32"/>
          <w:szCs w:val="32"/>
          <w:u w:val="single"/>
        </w:rPr>
        <w:t>：</w:t>
      </w:r>
      <w:r>
        <w:rPr>
          <w:rFonts w:hint="eastAsia" w:ascii="仿宋_GB2312" w:hAnsi="宋体" w:eastAsia="仿宋_GB2312"/>
          <w:sz w:val="32"/>
          <w:szCs w:val="32"/>
          <w:u w:val="single"/>
        </w:rPr>
        <w:tab/>
      </w:r>
      <w:r>
        <w:rPr>
          <w:rFonts w:hint="eastAsia" w:ascii="仿宋_GB2312" w:hAnsi="宋体" w:eastAsia="仿宋_GB2312"/>
          <w:sz w:val="32"/>
          <w:szCs w:val="32"/>
          <w:u w:val="single"/>
          <w:lang w:val="en-US" w:eastAsia="zh-CN"/>
        </w:rPr>
        <w:t xml:space="preserve">                                                                                                                              </w:t>
      </w:r>
    </w:p>
    <w:bookmarkEnd w:id="406"/>
    <w:p>
      <w:pPr>
        <w:spacing w:before="156" w:beforeLines="50" w:after="156" w:afterLines="50" w:line="570" w:lineRule="exact"/>
        <w:jc w:val="center"/>
        <w:rPr>
          <w:rFonts w:hint="eastAsia" w:ascii="宋体" w:hAnsi="宋体" w:cs="宋体"/>
          <w:b/>
          <w:sz w:val="32"/>
          <w:szCs w:val="32"/>
        </w:rPr>
      </w:pPr>
    </w:p>
    <w:p>
      <w:pPr>
        <w:spacing w:before="156" w:beforeLines="50" w:after="156" w:afterLines="50" w:line="570" w:lineRule="exact"/>
        <w:jc w:val="center"/>
        <w:rPr>
          <w:rFonts w:hint="eastAsia" w:ascii="宋体" w:hAnsi="宋体" w:cs="宋体"/>
          <w:b/>
          <w:sz w:val="32"/>
          <w:szCs w:val="32"/>
        </w:rPr>
      </w:pPr>
    </w:p>
    <w:p>
      <w:pPr>
        <w:spacing w:before="156" w:beforeLines="50" w:after="156" w:afterLines="50" w:line="570" w:lineRule="exact"/>
        <w:jc w:val="center"/>
        <w:rPr>
          <w:rFonts w:hint="eastAsia" w:ascii="宋体" w:hAnsi="宋体" w:cs="宋体"/>
          <w:b/>
          <w:sz w:val="32"/>
          <w:szCs w:val="32"/>
        </w:rPr>
      </w:pPr>
    </w:p>
    <w:p>
      <w:pPr>
        <w:spacing w:before="156" w:beforeLines="50" w:after="156" w:afterLines="50" w:line="570" w:lineRule="exact"/>
        <w:jc w:val="center"/>
        <w:rPr>
          <w:rFonts w:hint="eastAsia" w:ascii="宋体" w:hAnsi="宋体" w:cs="宋体"/>
          <w:b/>
          <w:sz w:val="32"/>
          <w:szCs w:val="32"/>
        </w:rPr>
      </w:pPr>
    </w:p>
    <w:p>
      <w:pPr>
        <w:spacing w:before="156" w:beforeLines="50" w:after="156" w:afterLines="50" w:line="570" w:lineRule="exact"/>
        <w:jc w:val="center"/>
        <w:rPr>
          <w:rFonts w:hint="eastAsia" w:ascii="宋体" w:hAnsi="宋体" w:cs="宋体"/>
          <w:b/>
          <w:sz w:val="32"/>
          <w:szCs w:val="32"/>
        </w:rPr>
      </w:pPr>
      <w:r>
        <w:rPr>
          <w:rFonts w:hint="eastAsia" w:ascii="宋体" w:hAnsi="宋体" w:cs="宋体"/>
          <w:b/>
          <w:sz w:val="32"/>
          <w:szCs w:val="32"/>
        </w:rPr>
        <w:t>电线电缆采购合同</w:t>
      </w:r>
    </w:p>
    <w:p>
      <w:pPr>
        <w:tabs>
          <w:tab w:val="center" w:pos="7980"/>
        </w:tabs>
        <w:spacing w:line="360" w:lineRule="auto"/>
        <w:ind w:firstLine="600" w:firstLineChars="250"/>
        <w:rPr>
          <w:rFonts w:hint="eastAsia" w:ascii="宋体" w:hAnsi="宋体" w:cs="宋体"/>
          <w:sz w:val="24"/>
        </w:rPr>
      </w:pPr>
      <w:r>
        <w:rPr>
          <w:rFonts w:hint="eastAsia" w:ascii="宋体" w:hAnsi="宋体" w:cs="宋体"/>
          <w:sz w:val="24"/>
        </w:rPr>
        <w:t>依据《中华人民共和国合同法》、《中华人民共和国建筑法》及其他有关法律规定，为明确甲方、乙方的权利和义务，遵循自愿、平等、公平和诚实守信原则，甲乙双方经过友好协商，就</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u w:val="single"/>
        </w:rPr>
        <w:tab/>
      </w:r>
      <w:r>
        <w:rPr>
          <w:rFonts w:hint="eastAsia" w:ascii="宋体" w:hAnsi="宋体" w:cs="宋体"/>
          <w:sz w:val="24"/>
        </w:rPr>
        <w:t>项目签订本合同，共同信守并严格履行以下合同条款：</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合同签订方的企业信息</w:t>
      </w:r>
    </w:p>
    <w:p>
      <w:pPr>
        <w:rPr>
          <w:rFonts w:hint="eastAsia" w:ascii="宋体" w:hAnsi="宋体" w:cs="宋体"/>
          <w:sz w:val="24"/>
          <w:lang w:val="zh-CN"/>
        </w:rPr>
      </w:pPr>
      <w:r>
        <w:rPr>
          <w:rFonts w:hint="eastAsia" w:ascii="宋体" w:hAnsi="宋体" w:cs="宋体"/>
          <w:sz w:val="24"/>
          <w:lang w:val="zh-CN"/>
        </w:rPr>
        <w:t>甲方：中铁城建集团第一工程有限公司</w:t>
      </w:r>
    </w:p>
    <w:p>
      <w:pPr>
        <w:tabs>
          <w:tab w:val="center" w:pos="7140"/>
        </w:tabs>
        <w:rPr>
          <w:rFonts w:hint="eastAsia" w:ascii="宋体" w:hAnsi="宋体" w:cs="宋体"/>
          <w:sz w:val="24"/>
          <w:lang w:val="zh-CN"/>
        </w:rPr>
      </w:pPr>
      <w:r>
        <w:rPr>
          <w:rFonts w:hint="eastAsia" w:ascii="宋体" w:hAnsi="宋体" w:cs="宋体"/>
          <w:sz w:val="24"/>
          <w:lang w:val="zh-CN"/>
        </w:rPr>
        <w:t xml:space="preserve">注册地址：太原市迎泽西大街169号 </w:t>
      </w:r>
      <w:r>
        <w:rPr>
          <w:rFonts w:hint="eastAsia" w:ascii="宋体" w:hAnsi="宋体" w:cs="宋体"/>
          <w:sz w:val="24"/>
        </w:rPr>
        <w:tab/>
      </w:r>
      <w:r>
        <w:rPr>
          <w:rFonts w:hint="eastAsia" w:ascii="宋体" w:hAnsi="宋体" w:cs="宋体"/>
          <w:sz w:val="24"/>
          <w:lang w:val="zh-CN"/>
        </w:rPr>
        <w:t>邮编：</w:t>
      </w:r>
      <w:r>
        <w:rPr>
          <w:rFonts w:hint="eastAsia" w:ascii="宋体" w:hAnsi="宋体" w:cs="宋体"/>
          <w:sz w:val="24"/>
        </w:rPr>
        <w:t>030024</w:t>
      </w:r>
    </w:p>
    <w:p>
      <w:pPr>
        <w:tabs>
          <w:tab w:val="center" w:pos="7140"/>
        </w:tabs>
        <w:rPr>
          <w:rFonts w:hint="eastAsia" w:ascii="宋体" w:hAnsi="宋体" w:cs="宋体"/>
          <w:sz w:val="24"/>
          <w:lang w:val="zh-CN"/>
        </w:rPr>
      </w:pPr>
      <w:r>
        <w:rPr>
          <w:rFonts w:hint="eastAsia" w:ascii="宋体" w:hAnsi="宋体" w:cs="宋体"/>
          <w:sz w:val="24"/>
          <w:lang w:val="zh-CN"/>
        </w:rPr>
        <w:t xml:space="preserve">通讯地址：太原市迎泽西大街169号 </w:t>
      </w:r>
      <w:r>
        <w:rPr>
          <w:rFonts w:hint="eastAsia" w:ascii="宋体" w:hAnsi="宋体" w:cs="宋体"/>
          <w:sz w:val="24"/>
        </w:rPr>
        <w:tab/>
      </w:r>
      <w:r>
        <w:rPr>
          <w:rFonts w:hint="eastAsia" w:ascii="宋体" w:hAnsi="宋体" w:cs="宋体"/>
          <w:sz w:val="24"/>
          <w:lang w:val="zh-CN"/>
        </w:rPr>
        <w:t>邮编：</w:t>
      </w:r>
      <w:r>
        <w:rPr>
          <w:rFonts w:hint="eastAsia" w:ascii="宋体" w:hAnsi="宋体" w:cs="宋体"/>
          <w:sz w:val="24"/>
        </w:rPr>
        <w:t>030024</w:t>
      </w:r>
    </w:p>
    <w:p>
      <w:pPr>
        <w:tabs>
          <w:tab w:val="center" w:pos="7140"/>
        </w:tabs>
        <w:rPr>
          <w:rFonts w:hint="eastAsia" w:ascii="宋体" w:hAnsi="宋体" w:cs="宋体"/>
          <w:sz w:val="24"/>
          <w:lang w:val="zh-CN"/>
        </w:rPr>
      </w:pPr>
      <w:r>
        <w:rPr>
          <w:rFonts w:hint="eastAsia" w:ascii="宋体" w:hAnsi="宋体" w:cs="宋体"/>
          <w:sz w:val="24"/>
          <w:lang w:val="zh-CN"/>
        </w:rPr>
        <w:t xml:space="preserve">法定代表人：郑军 </w:t>
      </w:r>
      <w:r>
        <w:rPr>
          <w:rFonts w:hint="eastAsia" w:ascii="宋体" w:hAnsi="宋体" w:cs="宋体"/>
          <w:sz w:val="24"/>
        </w:rPr>
        <w:tab/>
      </w:r>
      <w:r>
        <w:rPr>
          <w:rFonts w:hint="eastAsia" w:ascii="宋体" w:hAnsi="宋体" w:cs="宋体"/>
          <w:sz w:val="24"/>
          <w:lang w:val="zh-CN"/>
        </w:rPr>
        <w:t>职务：董事长</w:t>
      </w:r>
    </w:p>
    <w:p>
      <w:pPr>
        <w:rPr>
          <w:rFonts w:hint="eastAsia" w:ascii="宋体" w:hAnsi="宋体" w:cs="宋体"/>
          <w:sz w:val="24"/>
          <w:lang w:val="zh-CN"/>
        </w:rPr>
      </w:pPr>
      <w:r>
        <w:rPr>
          <w:rFonts w:hint="eastAsia" w:ascii="宋体" w:hAnsi="宋体" w:cs="宋体"/>
          <w:sz w:val="24"/>
          <w:lang w:val="zh-CN"/>
        </w:rPr>
        <w:t>纳税人身份：一般纳税人</w:t>
      </w:r>
    </w:p>
    <w:p>
      <w:pPr>
        <w:rPr>
          <w:rFonts w:hint="eastAsia" w:ascii="宋体" w:hAnsi="宋体" w:cs="宋体"/>
          <w:sz w:val="24"/>
          <w:lang w:val="zh-CN"/>
        </w:rPr>
      </w:pPr>
      <w:r>
        <w:rPr>
          <w:rFonts w:hint="eastAsia" w:ascii="宋体" w:hAnsi="宋体" w:cs="宋体"/>
          <w:sz w:val="24"/>
          <w:lang w:val="zh-CN"/>
        </w:rPr>
        <w:t>纳税人识别号：</w:t>
      </w:r>
      <w:r>
        <w:rPr>
          <w:rFonts w:hint="eastAsia" w:ascii="宋体" w:hAnsi="宋体" w:cs="宋体"/>
          <w:sz w:val="24"/>
        </w:rPr>
        <w:t>9</w:t>
      </w:r>
      <w:r>
        <w:rPr>
          <w:rFonts w:hint="eastAsia" w:ascii="宋体" w:hAnsi="宋体" w:cs="宋体"/>
          <w:sz w:val="24"/>
          <w:lang w:val="zh-CN"/>
        </w:rPr>
        <w:t>114</w:t>
      </w:r>
      <w:r>
        <w:rPr>
          <w:rFonts w:hint="eastAsia" w:ascii="宋体" w:hAnsi="宋体" w:cs="宋体"/>
          <w:sz w:val="24"/>
        </w:rPr>
        <w:t xml:space="preserve"> </w:t>
      </w:r>
      <w:r>
        <w:rPr>
          <w:rFonts w:hint="eastAsia" w:ascii="宋体" w:hAnsi="宋体" w:cs="宋体"/>
          <w:sz w:val="24"/>
          <w:lang w:val="zh-CN"/>
        </w:rPr>
        <w:t>0000</w:t>
      </w:r>
      <w:r>
        <w:rPr>
          <w:rFonts w:hint="eastAsia" w:ascii="宋体" w:hAnsi="宋体" w:cs="宋体"/>
          <w:sz w:val="24"/>
        </w:rPr>
        <w:t xml:space="preserve"> </w:t>
      </w:r>
      <w:r>
        <w:rPr>
          <w:rFonts w:hint="eastAsia" w:ascii="宋体" w:hAnsi="宋体" w:cs="宋体"/>
          <w:sz w:val="24"/>
          <w:lang w:val="zh-CN"/>
        </w:rPr>
        <w:t>0870</w:t>
      </w:r>
      <w:r>
        <w:rPr>
          <w:rFonts w:hint="eastAsia" w:ascii="宋体" w:hAnsi="宋体" w:cs="宋体"/>
          <w:sz w:val="24"/>
        </w:rPr>
        <w:t xml:space="preserve"> </w:t>
      </w:r>
      <w:r>
        <w:rPr>
          <w:rFonts w:hint="eastAsia" w:ascii="宋体" w:hAnsi="宋体" w:cs="宋体"/>
          <w:sz w:val="24"/>
          <w:lang w:val="zh-CN"/>
        </w:rPr>
        <w:t>963902</w:t>
      </w:r>
    </w:p>
    <w:p>
      <w:pPr>
        <w:rPr>
          <w:rFonts w:hint="eastAsia" w:ascii="宋体" w:hAnsi="宋体" w:cs="宋体"/>
          <w:sz w:val="24"/>
          <w:lang w:val="zh-CN"/>
        </w:rPr>
      </w:pPr>
      <w:r>
        <w:rPr>
          <w:rFonts w:hint="eastAsia" w:ascii="宋体" w:hAnsi="宋体" w:cs="宋体"/>
          <w:sz w:val="24"/>
          <w:lang w:val="zh-CN"/>
        </w:rPr>
        <w:t>开户银行名称：中国建设银行太原西矿街支行</w:t>
      </w:r>
    </w:p>
    <w:p>
      <w:pPr>
        <w:rPr>
          <w:rFonts w:hint="eastAsia" w:ascii="宋体" w:hAnsi="宋体" w:cs="宋体"/>
          <w:sz w:val="24"/>
          <w:lang w:val="zh-CN"/>
        </w:rPr>
      </w:pPr>
      <w:r>
        <w:rPr>
          <w:rFonts w:hint="eastAsia" w:ascii="宋体" w:hAnsi="宋体" w:cs="宋体"/>
          <w:sz w:val="24"/>
          <w:lang w:val="zh-CN"/>
        </w:rPr>
        <w:t>开户银行账号：</w:t>
      </w:r>
      <w:r>
        <w:rPr>
          <w:rFonts w:hint="eastAsia" w:ascii="宋体" w:hAnsi="宋体" w:cs="宋体"/>
          <w:sz w:val="24"/>
        </w:rPr>
        <w:t>1400 1836 2080 5050 3733</w:t>
      </w:r>
    </w:p>
    <w:p>
      <w:pPr>
        <w:spacing w:before="312" w:beforeLines="100"/>
        <w:rPr>
          <w:rFonts w:hint="eastAsia" w:ascii="宋体" w:hAnsi="宋体" w:cs="宋体"/>
          <w:sz w:val="24"/>
          <w:lang w:val="zh-CN"/>
        </w:rPr>
      </w:pPr>
      <w:r>
        <w:rPr>
          <w:rFonts w:hint="eastAsia" w:ascii="宋体" w:hAnsi="宋体" w:cs="宋体"/>
          <w:sz w:val="24"/>
          <w:lang w:val="zh-CN"/>
        </w:rPr>
        <w:t>乙方：</w:t>
      </w:r>
    </w:p>
    <w:p>
      <w:pPr>
        <w:tabs>
          <w:tab w:val="center" w:pos="7140"/>
        </w:tabs>
        <w:rPr>
          <w:rFonts w:hint="eastAsia" w:ascii="宋体" w:hAnsi="宋体" w:cs="宋体"/>
          <w:sz w:val="24"/>
          <w:lang w:val="zh-CN"/>
        </w:rPr>
      </w:pPr>
      <w:r>
        <w:rPr>
          <w:rFonts w:hint="eastAsia" w:ascii="宋体" w:hAnsi="宋体" w:cs="宋体"/>
          <w:sz w:val="24"/>
          <w:lang w:val="zh-CN"/>
        </w:rPr>
        <w:t>注册地址：(注：以营业执照为准)</w:t>
      </w:r>
      <w:r>
        <w:rPr>
          <w:rFonts w:hint="eastAsia" w:ascii="宋体" w:hAnsi="宋体" w:cs="宋体"/>
          <w:sz w:val="24"/>
        </w:rPr>
        <w:tab/>
      </w:r>
      <w:r>
        <w:rPr>
          <w:rFonts w:hint="eastAsia" w:ascii="宋体" w:hAnsi="宋体" w:cs="宋体"/>
          <w:sz w:val="24"/>
          <w:lang w:val="zh-CN"/>
        </w:rPr>
        <w:t>邮编：</w:t>
      </w:r>
    </w:p>
    <w:p>
      <w:pPr>
        <w:tabs>
          <w:tab w:val="center" w:pos="7140"/>
        </w:tabs>
        <w:rPr>
          <w:rFonts w:hint="eastAsia" w:ascii="宋体" w:hAnsi="宋体" w:cs="宋体"/>
          <w:sz w:val="24"/>
          <w:lang w:val="zh-CN"/>
        </w:rPr>
      </w:pPr>
      <w:r>
        <w:rPr>
          <w:rFonts w:hint="eastAsia" w:ascii="宋体" w:hAnsi="宋体" w:cs="宋体"/>
          <w:sz w:val="24"/>
          <w:lang w:val="zh-CN"/>
        </w:rPr>
        <w:t>通讯地址：(注：以实际办公地址为准)</w:t>
      </w:r>
      <w:r>
        <w:rPr>
          <w:rFonts w:hint="eastAsia" w:ascii="宋体" w:hAnsi="宋体" w:cs="宋体"/>
          <w:sz w:val="24"/>
        </w:rPr>
        <w:tab/>
      </w:r>
      <w:r>
        <w:rPr>
          <w:rFonts w:hint="eastAsia" w:ascii="宋体" w:hAnsi="宋体" w:cs="宋体"/>
          <w:sz w:val="24"/>
          <w:lang w:val="zh-CN"/>
        </w:rPr>
        <w:t>邮编：</w:t>
      </w:r>
    </w:p>
    <w:p>
      <w:pPr>
        <w:tabs>
          <w:tab w:val="center" w:pos="7140"/>
        </w:tabs>
        <w:rPr>
          <w:rFonts w:hint="eastAsia" w:ascii="宋体" w:hAnsi="宋体" w:cs="宋体"/>
          <w:sz w:val="24"/>
          <w:lang w:val="zh-CN"/>
        </w:rPr>
      </w:pPr>
      <w:r>
        <w:rPr>
          <w:rFonts w:hint="eastAsia" w:ascii="宋体" w:hAnsi="宋体" w:cs="宋体"/>
          <w:sz w:val="24"/>
          <w:lang w:val="zh-CN"/>
        </w:rPr>
        <w:t>法定代表人：</w:t>
      </w:r>
      <w:r>
        <w:rPr>
          <w:rFonts w:hint="eastAsia" w:ascii="宋体" w:hAnsi="宋体" w:cs="宋体"/>
          <w:sz w:val="24"/>
        </w:rPr>
        <w:tab/>
      </w:r>
      <w:r>
        <w:rPr>
          <w:rFonts w:hint="eastAsia" w:ascii="宋体" w:hAnsi="宋体" w:cs="宋体"/>
          <w:sz w:val="24"/>
          <w:lang w:val="zh-CN"/>
        </w:rPr>
        <w:t>职务：</w:t>
      </w:r>
    </w:p>
    <w:p>
      <w:pPr>
        <w:rPr>
          <w:rFonts w:hint="eastAsia" w:ascii="宋体" w:hAnsi="宋体" w:cs="宋体"/>
          <w:sz w:val="24"/>
          <w:lang w:val="zh-CN"/>
        </w:rPr>
      </w:pPr>
      <w:r>
        <w:rPr>
          <w:rFonts w:hint="eastAsia" w:ascii="宋体" w:hAnsi="宋体" w:cs="宋体"/>
          <w:sz w:val="24"/>
          <w:lang w:val="zh-CN"/>
        </w:rPr>
        <w:t>纳税人身份：</w:t>
      </w:r>
    </w:p>
    <w:p>
      <w:pPr>
        <w:rPr>
          <w:rFonts w:hint="eastAsia" w:ascii="宋体" w:hAnsi="宋体" w:cs="宋体"/>
          <w:sz w:val="24"/>
        </w:rPr>
      </w:pPr>
      <w:r>
        <w:rPr>
          <w:rFonts w:hint="eastAsia" w:ascii="宋体" w:hAnsi="宋体" w:cs="宋体"/>
          <w:sz w:val="24"/>
          <w:lang w:val="zh-CN"/>
        </w:rPr>
        <w:t>开户银行名称：</w:t>
      </w:r>
    </w:p>
    <w:p>
      <w:pPr>
        <w:numPr>
          <w:ilvl w:val="0"/>
          <w:numId w:val="7"/>
        </w:numPr>
        <w:spacing w:after="120" w:line="570" w:lineRule="exact"/>
        <w:ind w:firstLine="482" w:firstLineChars="200"/>
        <w:rPr>
          <w:rFonts w:hint="eastAsia" w:ascii="宋体" w:hAnsi="宋体" w:cs="宋体"/>
          <w:b/>
          <w:sz w:val="24"/>
        </w:rPr>
      </w:pPr>
      <w:r>
        <w:rPr>
          <w:rFonts w:hint="eastAsia" w:ascii="宋体" w:hAnsi="宋体" w:cs="宋体"/>
          <w:b/>
          <w:sz w:val="24"/>
        </w:rPr>
        <w:t>合同标的物、价格及税额</w:t>
      </w:r>
    </w:p>
    <w:p>
      <w:pPr>
        <w:spacing w:line="0" w:lineRule="atLeast"/>
        <w:jc w:val="right"/>
        <w:rPr>
          <w:rFonts w:hint="eastAsia" w:ascii="宋体" w:hAnsi="宋体" w:cs="宋体"/>
          <w:b/>
          <w:szCs w:val="21"/>
        </w:rPr>
      </w:pPr>
      <w:r>
        <w:rPr>
          <w:rFonts w:hint="eastAsia" w:ascii="宋体" w:hAnsi="宋体" w:cs="宋体"/>
          <w:bCs/>
          <w:szCs w:val="21"/>
        </w:rPr>
        <w:t>金额：元</w:t>
      </w:r>
    </w:p>
    <w:tbl>
      <w:tblPr>
        <w:tblStyle w:val="39"/>
        <w:tblW w:w="945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567"/>
        <w:gridCol w:w="709"/>
        <w:gridCol w:w="992"/>
        <w:gridCol w:w="1276"/>
        <w:gridCol w:w="1418"/>
        <w:gridCol w:w="12"/>
        <w:gridCol w:w="980"/>
        <w:gridCol w:w="9"/>
        <w:gridCol w:w="11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4" w:hRule="atLeast"/>
        </w:trPr>
        <w:tc>
          <w:tcPr>
            <w:tcW w:w="1101" w:type="dxa"/>
            <w:noWrap w:val="0"/>
            <w:vAlign w:val="center"/>
          </w:tcPr>
          <w:p>
            <w:pPr>
              <w:spacing w:line="0" w:lineRule="atLeast"/>
              <w:jc w:val="center"/>
              <w:rPr>
                <w:rFonts w:hint="eastAsia" w:ascii="宋体" w:hAnsi="宋体" w:cs="宋体"/>
                <w:szCs w:val="21"/>
              </w:rPr>
            </w:pPr>
            <w:r>
              <w:rPr>
                <w:rFonts w:hint="eastAsia" w:ascii="宋体" w:hAnsi="宋体" w:cs="宋体"/>
                <w:szCs w:val="21"/>
              </w:rPr>
              <w:t>产品名称</w:t>
            </w:r>
          </w:p>
        </w:tc>
        <w:tc>
          <w:tcPr>
            <w:tcW w:w="1275" w:type="dxa"/>
            <w:noWrap w:val="0"/>
            <w:vAlign w:val="center"/>
          </w:tcPr>
          <w:p>
            <w:pPr>
              <w:spacing w:line="0" w:lineRule="atLeast"/>
              <w:jc w:val="center"/>
              <w:rPr>
                <w:rFonts w:hint="eastAsia" w:ascii="宋体" w:hAnsi="宋体" w:cs="宋体"/>
                <w:szCs w:val="21"/>
              </w:rPr>
            </w:pPr>
            <w:r>
              <w:rPr>
                <w:rFonts w:hint="eastAsia" w:ascii="宋体" w:hAnsi="宋体" w:cs="宋体"/>
                <w:szCs w:val="21"/>
              </w:rPr>
              <w:t>规格型号</w:t>
            </w:r>
          </w:p>
        </w:tc>
        <w:tc>
          <w:tcPr>
            <w:tcW w:w="567" w:type="dxa"/>
            <w:noWrap w:val="0"/>
            <w:vAlign w:val="center"/>
          </w:tcPr>
          <w:p>
            <w:pPr>
              <w:spacing w:line="0" w:lineRule="atLeast"/>
              <w:jc w:val="center"/>
              <w:rPr>
                <w:rFonts w:hint="eastAsia" w:ascii="宋体" w:hAnsi="宋体" w:cs="宋体"/>
                <w:szCs w:val="21"/>
              </w:rPr>
            </w:pPr>
            <w:r>
              <w:rPr>
                <w:rFonts w:hint="eastAsia" w:ascii="宋体" w:hAnsi="宋体" w:cs="宋体"/>
                <w:szCs w:val="21"/>
              </w:rPr>
              <w:t>单位</w:t>
            </w:r>
          </w:p>
        </w:tc>
        <w:tc>
          <w:tcPr>
            <w:tcW w:w="709" w:type="dxa"/>
            <w:noWrap w:val="0"/>
            <w:vAlign w:val="center"/>
          </w:tcPr>
          <w:p>
            <w:pPr>
              <w:spacing w:line="0" w:lineRule="atLeast"/>
              <w:jc w:val="center"/>
              <w:rPr>
                <w:rFonts w:hint="eastAsia" w:ascii="宋体" w:hAnsi="宋体" w:cs="宋体"/>
                <w:szCs w:val="21"/>
              </w:rPr>
            </w:pPr>
            <w:r>
              <w:rPr>
                <w:rFonts w:hint="eastAsia" w:ascii="宋体" w:hAnsi="宋体" w:cs="宋体"/>
                <w:szCs w:val="21"/>
              </w:rPr>
              <w:t>数量</w:t>
            </w:r>
          </w:p>
        </w:tc>
        <w:tc>
          <w:tcPr>
            <w:tcW w:w="992" w:type="dxa"/>
            <w:noWrap w:val="0"/>
            <w:vAlign w:val="center"/>
          </w:tcPr>
          <w:p>
            <w:pPr>
              <w:spacing w:line="0" w:lineRule="atLeast"/>
              <w:jc w:val="center"/>
              <w:rPr>
                <w:rFonts w:hint="eastAsia" w:ascii="宋体" w:hAnsi="宋体" w:cs="宋体"/>
                <w:szCs w:val="21"/>
              </w:rPr>
            </w:pPr>
            <w:r>
              <w:rPr>
                <w:rFonts w:hint="eastAsia" w:ascii="宋体" w:hAnsi="宋体" w:cs="宋体"/>
                <w:szCs w:val="21"/>
              </w:rPr>
              <w:t>不含税单价</w:t>
            </w:r>
          </w:p>
        </w:tc>
        <w:tc>
          <w:tcPr>
            <w:tcW w:w="1276" w:type="dxa"/>
            <w:noWrap w:val="0"/>
            <w:vAlign w:val="center"/>
          </w:tcPr>
          <w:p>
            <w:pPr>
              <w:spacing w:line="0" w:lineRule="atLeast"/>
              <w:jc w:val="center"/>
              <w:rPr>
                <w:rFonts w:hint="eastAsia" w:ascii="宋体" w:hAnsi="宋体" w:cs="宋体"/>
                <w:szCs w:val="21"/>
              </w:rPr>
            </w:pPr>
            <w:r>
              <w:rPr>
                <w:rFonts w:hint="eastAsia" w:ascii="宋体" w:hAnsi="宋体" w:cs="宋体"/>
                <w:szCs w:val="21"/>
              </w:rPr>
              <w:t>不含税价格</w:t>
            </w:r>
          </w:p>
        </w:tc>
        <w:tc>
          <w:tcPr>
            <w:tcW w:w="1418" w:type="dxa"/>
            <w:noWrap w:val="0"/>
            <w:vAlign w:val="center"/>
          </w:tcPr>
          <w:p>
            <w:pPr>
              <w:spacing w:line="0" w:lineRule="atLeast"/>
              <w:jc w:val="center"/>
              <w:rPr>
                <w:rFonts w:hint="eastAsia" w:ascii="宋体" w:hAnsi="宋体" w:cs="宋体"/>
                <w:szCs w:val="21"/>
              </w:rPr>
            </w:pPr>
            <w:r>
              <w:rPr>
                <w:rFonts w:hint="eastAsia" w:ascii="宋体" w:hAnsi="宋体" w:cs="宋体"/>
                <w:szCs w:val="21"/>
              </w:rPr>
              <w:t>增值税税率或征收率</w:t>
            </w:r>
          </w:p>
        </w:tc>
        <w:tc>
          <w:tcPr>
            <w:tcW w:w="1001" w:type="dxa"/>
            <w:gridSpan w:val="3"/>
            <w:noWrap w:val="0"/>
            <w:vAlign w:val="center"/>
          </w:tcPr>
          <w:p>
            <w:pPr>
              <w:spacing w:line="0" w:lineRule="atLeast"/>
              <w:jc w:val="center"/>
              <w:rPr>
                <w:rFonts w:hint="eastAsia" w:ascii="宋体" w:hAnsi="宋体" w:cs="宋体"/>
                <w:szCs w:val="21"/>
              </w:rPr>
            </w:pPr>
            <w:r>
              <w:rPr>
                <w:rFonts w:hint="eastAsia" w:ascii="宋体" w:hAnsi="宋体" w:cs="宋体"/>
                <w:szCs w:val="21"/>
              </w:rPr>
              <w:t>增值税税额</w:t>
            </w:r>
          </w:p>
        </w:tc>
        <w:tc>
          <w:tcPr>
            <w:tcW w:w="1113" w:type="dxa"/>
            <w:noWrap w:val="0"/>
            <w:vAlign w:val="center"/>
          </w:tcPr>
          <w:p>
            <w:pPr>
              <w:spacing w:line="0" w:lineRule="atLeast"/>
              <w:jc w:val="center"/>
              <w:rPr>
                <w:rFonts w:hint="eastAsia" w:ascii="宋体" w:hAnsi="宋体" w:cs="宋体"/>
                <w:szCs w:val="21"/>
              </w:rPr>
            </w:pPr>
            <w:r>
              <w:rPr>
                <w:rFonts w:hint="eastAsia" w:ascii="宋体" w:hAnsi="宋体" w:cs="宋体"/>
                <w:szCs w:val="21"/>
              </w:rPr>
              <w:t>价税合计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1" w:hRule="atLeast"/>
        </w:trPr>
        <w:tc>
          <w:tcPr>
            <w:tcW w:w="1101" w:type="dxa"/>
            <w:noWrap w:val="0"/>
            <w:vAlign w:val="center"/>
          </w:tcPr>
          <w:p>
            <w:pPr>
              <w:spacing w:line="570" w:lineRule="exact"/>
              <w:jc w:val="center"/>
              <w:rPr>
                <w:rFonts w:hint="eastAsia" w:ascii="宋体" w:hAnsi="宋体" w:cs="宋体"/>
                <w:szCs w:val="21"/>
              </w:rPr>
            </w:pPr>
          </w:p>
        </w:tc>
        <w:tc>
          <w:tcPr>
            <w:tcW w:w="1275" w:type="dxa"/>
            <w:noWrap w:val="0"/>
            <w:vAlign w:val="center"/>
          </w:tcPr>
          <w:p>
            <w:pPr>
              <w:spacing w:line="570" w:lineRule="exact"/>
              <w:jc w:val="center"/>
              <w:rPr>
                <w:rFonts w:hint="eastAsia" w:ascii="宋体" w:hAnsi="宋体" w:cs="宋体"/>
                <w:szCs w:val="21"/>
              </w:rPr>
            </w:pPr>
          </w:p>
        </w:tc>
        <w:tc>
          <w:tcPr>
            <w:tcW w:w="567" w:type="dxa"/>
            <w:noWrap w:val="0"/>
            <w:vAlign w:val="center"/>
          </w:tcPr>
          <w:p>
            <w:pPr>
              <w:spacing w:line="570" w:lineRule="exact"/>
              <w:jc w:val="center"/>
              <w:rPr>
                <w:rFonts w:hint="eastAsia" w:ascii="宋体" w:hAnsi="宋体" w:cs="宋体"/>
                <w:szCs w:val="21"/>
              </w:rPr>
            </w:pPr>
          </w:p>
        </w:tc>
        <w:tc>
          <w:tcPr>
            <w:tcW w:w="709" w:type="dxa"/>
            <w:noWrap w:val="0"/>
            <w:vAlign w:val="center"/>
          </w:tcPr>
          <w:p>
            <w:pPr>
              <w:spacing w:line="570" w:lineRule="exact"/>
              <w:jc w:val="center"/>
              <w:rPr>
                <w:rFonts w:hint="eastAsia" w:ascii="宋体" w:hAnsi="宋体" w:cs="宋体"/>
                <w:szCs w:val="21"/>
              </w:rPr>
            </w:pPr>
          </w:p>
        </w:tc>
        <w:tc>
          <w:tcPr>
            <w:tcW w:w="992" w:type="dxa"/>
            <w:noWrap w:val="0"/>
            <w:vAlign w:val="center"/>
          </w:tcPr>
          <w:p>
            <w:pPr>
              <w:spacing w:line="570" w:lineRule="exact"/>
              <w:jc w:val="center"/>
              <w:rPr>
                <w:rFonts w:hint="eastAsia" w:ascii="宋体" w:hAnsi="宋体" w:cs="宋体"/>
                <w:szCs w:val="21"/>
              </w:rPr>
            </w:pPr>
          </w:p>
        </w:tc>
        <w:tc>
          <w:tcPr>
            <w:tcW w:w="1276" w:type="dxa"/>
            <w:noWrap w:val="0"/>
            <w:vAlign w:val="center"/>
          </w:tcPr>
          <w:p>
            <w:pPr>
              <w:spacing w:line="570" w:lineRule="exact"/>
              <w:jc w:val="center"/>
              <w:rPr>
                <w:rFonts w:hint="eastAsia" w:ascii="宋体" w:hAnsi="宋体" w:cs="宋体"/>
                <w:szCs w:val="21"/>
              </w:rPr>
            </w:pPr>
          </w:p>
        </w:tc>
        <w:tc>
          <w:tcPr>
            <w:tcW w:w="1418" w:type="dxa"/>
            <w:noWrap w:val="0"/>
            <w:vAlign w:val="center"/>
          </w:tcPr>
          <w:p>
            <w:pPr>
              <w:spacing w:line="570" w:lineRule="exact"/>
              <w:jc w:val="center"/>
              <w:rPr>
                <w:rFonts w:hint="eastAsia" w:ascii="宋体" w:hAnsi="宋体" w:cs="宋体"/>
                <w:szCs w:val="21"/>
              </w:rPr>
            </w:pPr>
          </w:p>
        </w:tc>
        <w:tc>
          <w:tcPr>
            <w:tcW w:w="992" w:type="dxa"/>
            <w:gridSpan w:val="2"/>
            <w:noWrap w:val="0"/>
            <w:vAlign w:val="center"/>
          </w:tcPr>
          <w:p>
            <w:pPr>
              <w:spacing w:line="570" w:lineRule="exact"/>
              <w:jc w:val="center"/>
              <w:rPr>
                <w:rFonts w:hint="eastAsia" w:ascii="宋体" w:hAnsi="宋体" w:cs="宋体"/>
                <w:szCs w:val="21"/>
              </w:rPr>
            </w:pPr>
          </w:p>
        </w:tc>
        <w:tc>
          <w:tcPr>
            <w:tcW w:w="1122" w:type="dxa"/>
            <w:gridSpan w:val="2"/>
            <w:noWrap w:val="0"/>
            <w:vAlign w:val="center"/>
          </w:tcPr>
          <w:p>
            <w:pPr>
              <w:spacing w:line="57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3" w:hRule="atLeast"/>
        </w:trPr>
        <w:tc>
          <w:tcPr>
            <w:tcW w:w="1101" w:type="dxa"/>
            <w:noWrap w:val="0"/>
            <w:vAlign w:val="top"/>
          </w:tcPr>
          <w:p>
            <w:pPr>
              <w:tabs>
                <w:tab w:val="left" w:pos="120"/>
              </w:tabs>
            </w:pPr>
          </w:p>
        </w:tc>
        <w:tc>
          <w:tcPr>
            <w:tcW w:w="1275" w:type="dxa"/>
            <w:noWrap w:val="0"/>
            <w:vAlign w:val="center"/>
          </w:tcPr>
          <w:p>
            <w:pPr>
              <w:spacing w:line="570" w:lineRule="exact"/>
              <w:jc w:val="center"/>
              <w:rPr>
                <w:rFonts w:hint="eastAsia" w:ascii="宋体" w:hAnsi="宋体" w:cs="宋体"/>
                <w:szCs w:val="21"/>
              </w:rPr>
            </w:pPr>
          </w:p>
        </w:tc>
        <w:tc>
          <w:tcPr>
            <w:tcW w:w="567" w:type="dxa"/>
            <w:noWrap w:val="0"/>
            <w:vAlign w:val="center"/>
          </w:tcPr>
          <w:p>
            <w:pPr>
              <w:spacing w:line="570" w:lineRule="exact"/>
              <w:jc w:val="center"/>
              <w:rPr>
                <w:rFonts w:hint="eastAsia" w:ascii="宋体" w:hAnsi="宋体" w:cs="宋体"/>
                <w:szCs w:val="21"/>
              </w:rPr>
            </w:pPr>
          </w:p>
        </w:tc>
        <w:tc>
          <w:tcPr>
            <w:tcW w:w="709" w:type="dxa"/>
            <w:noWrap w:val="0"/>
            <w:vAlign w:val="center"/>
          </w:tcPr>
          <w:p>
            <w:pPr>
              <w:spacing w:line="570" w:lineRule="exact"/>
              <w:jc w:val="center"/>
              <w:rPr>
                <w:rFonts w:hint="eastAsia" w:ascii="宋体" w:hAnsi="宋体" w:cs="宋体"/>
                <w:szCs w:val="21"/>
              </w:rPr>
            </w:pPr>
          </w:p>
        </w:tc>
        <w:tc>
          <w:tcPr>
            <w:tcW w:w="992" w:type="dxa"/>
            <w:noWrap w:val="0"/>
            <w:vAlign w:val="center"/>
          </w:tcPr>
          <w:p>
            <w:pPr>
              <w:spacing w:line="570" w:lineRule="exact"/>
              <w:jc w:val="center"/>
              <w:rPr>
                <w:rFonts w:hint="eastAsia" w:ascii="宋体" w:hAnsi="宋体" w:cs="宋体"/>
                <w:szCs w:val="21"/>
              </w:rPr>
            </w:pPr>
          </w:p>
        </w:tc>
        <w:tc>
          <w:tcPr>
            <w:tcW w:w="1276" w:type="dxa"/>
            <w:noWrap w:val="0"/>
            <w:vAlign w:val="center"/>
          </w:tcPr>
          <w:p>
            <w:pPr>
              <w:spacing w:line="570" w:lineRule="exact"/>
              <w:jc w:val="center"/>
              <w:rPr>
                <w:rFonts w:hint="eastAsia" w:ascii="宋体" w:hAnsi="宋体" w:cs="宋体"/>
                <w:szCs w:val="21"/>
              </w:rPr>
            </w:pPr>
          </w:p>
        </w:tc>
        <w:tc>
          <w:tcPr>
            <w:tcW w:w="1430" w:type="dxa"/>
            <w:gridSpan w:val="2"/>
            <w:noWrap w:val="0"/>
            <w:vAlign w:val="center"/>
          </w:tcPr>
          <w:p>
            <w:pPr>
              <w:spacing w:line="570" w:lineRule="exact"/>
              <w:jc w:val="center"/>
              <w:rPr>
                <w:rFonts w:hint="eastAsia" w:ascii="宋体" w:hAnsi="宋体" w:cs="宋体"/>
                <w:szCs w:val="21"/>
              </w:rPr>
            </w:pPr>
          </w:p>
        </w:tc>
        <w:tc>
          <w:tcPr>
            <w:tcW w:w="980" w:type="dxa"/>
            <w:noWrap w:val="0"/>
            <w:vAlign w:val="center"/>
          </w:tcPr>
          <w:p>
            <w:pPr>
              <w:spacing w:line="570" w:lineRule="exact"/>
              <w:jc w:val="center"/>
              <w:rPr>
                <w:rFonts w:hint="eastAsia" w:ascii="宋体" w:hAnsi="宋体" w:cs="宋体"/>
                <w:szCs w:val="21"/>
              </w:rPr>
            </w:pPr>
          </w:p>
        </w:tc>
        <w:tc>
          <w:tcPr>
            <w:tcW w:w="1122" w:type="dxa"/>
            <w:gridSpan w:val="2"/>
            <w:noWrap w:val="0"/>
            <w:vAlign w:val="center"/>
          </w:tcPr>
          <w:p>
            <w:pPr>
              <w:spacing w:line="57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3" w:hRule="atLeast"/>
        </w:trPr>
        <w:tc>
          <w:tcPr>
            <w:tcW w:w="1101" w:type="dxa"/>
            <w:noWrap w:val="0"/>
            <w:vAlign w:val="top"/>
          </w:tcPr>
          <w:p>
            <w:pPr>
              <w:jc w:val="center"/>
            </w:pPr>
          </w:p>
        </w:tc>
        <w:tc>
          <w:tcPr>
            <w:tcW w:w="1275" w:type="dxa"/>
            <w:noWrap w:val="0"/>
            <w:vAlign w:val="center"/>
          </w:tcPr>
          <w:p>
            <w:pPr>
              <w:spacing w:line="570" w:lineRule="exact"/>
              <w:jc w:val="center"/>
              <w:rPr>
                <w:rFonts w:hint="eastAsia" w:ascii="宋体" w:hAnsi="宋体" w:cs="宋体"/>
                <w:szCs w:val="21"/>
              </w:rPr>
            </w:pPr>
          </w:p>
        </w:tc>
        <w:tc>
          <w:tcPr>
            <w:tcW w:w="567" w:type="dxa"/>
            <w:noWrap w:val="0"/>
            <w:vAlign w:val="center"/>
          </w:tcPr>
          <w:p>
            <w:pPr>
              <w:spacing w:line="570" w:lineRule="exact"/>
              <w:jc w:val="center"/>
              <w:rPr>
                <w:rFonts w:hint="eastAsia" w:ascii="宋体" w:hAnsi="宋体" w:cs="宋体"/>
                <w:szCs w:val="21"/>
              </w:rPr>
            </w:pPr>
          </w:p>
        </w:tc>
        <w:tc>
          <w:tcPr>
            <w:tcW w:w="709" w:type="dxa"/>
            <w:noWrap w:val="0"/>
            <w:vAlign w:val="center"/>
          </w:tcPr>
          <w:p>
            <w:pPr>
              <w:spacing w:line="570" w:lineRule="exact"/>
              <w:jc w:val="center"/>
              <w:rPr>
                <w:rFonts w:hint="eastAsia" w:ascii="宋体" w:hAnsi="宋体" w:cs="宋体"/>
                <w:szCs w:val="21"/>
              </w:rPr>
            </w:pPr>
          </w:p>
        </w:tc>
        <w:tc>
          <w:tcPr>
            <w:tcW w:w="992" w:type="dxa"/>
            <w:noWrap w:val="0"/>
            <w:vAlign w:val="center"/>
          </w:tcPr>
          <w:p>
            <w:pPr>
              <w:spacing w:line="570" w:lineRule="exact"/>
              <w:jc w:val="center"/>
              <w:rPr>
                <w:rFonts w:hint="eastAsia" w:ascii="宋体" w:hAnsi="宋体" w:cs="宋体"/>
                <w:szCs w:val="21"/>
              </w:rPr>
            </w:pPr>
          </w:p>
        </w:tc>
        <w:tc>
          <w:tcPr>
            <w:tcW w:w="1276" w:type="dxa"/>
            <w:noWrap w:val="0"/>
            <w:vAlign w:val="center"/>
          </w:tcPr>
          <w:p>
            <w:pPr>
              <w:spacing w:line="570" w:lineRule="exact"/>
              <w:jc w:val="center"/>
              <w:rPr>
                <w:rFonts w:hint="eastAsia" w:ascii="宋体" w:hAnsi="宋体" w:cs="宋体"/>
                <w:szCs w:val="21"/>
              </w:rPr>
            </w:pPr>
          </w:p>
        </w:tc>
        <w:tc>
          <w:tcPr>
            <w:tcW w:w="1430" w:type="dxa"/>
            <w:gridSpan w:val="2"/>
            <w:noWrap w:val="0"/>
            <w:vAlign w:val="center"/>
          </w:tcPr>
          <w:p>
            <w:pPr>
              <w:spacing w:line="570" w:lineRule="exact"/>
              <w:jc w:val="center"/>
              <w:rPr>
                <w:rFonts w:hint="eastAsia" w:ascii="宋体" w:hAnsi="宋体" w:cs="宋体"/>
                <w:szCs w:val="21"/>
              </w:rPr>
            </w:pPr>
          </w:p>
        </w:tc>
        <w:tc>
          <w:tcPr>
            <w:tcW w:w="980" w:type="dxa"/>
            <w:noWrap w:val="0"/>
            <w:vAlign w:val="center"/>
          </w:tcPr>
          <w:p>
            <w:pPr>
              <w:spacing w:line="570" w:lineRule="exact"/>
              <w:jc w:val="center"/>
              <w:rPr>
                <w:rFonts w:hint="eastAsia" w:ascii="宋体" w:hAnsi="宋体" w:cs="宋体"/>
                <w:szCs w:val="21"/>
              </w:rPr>
            </w:pPr>
          </w:p>
        </w:tc>
        <w:tc>
          <w:tcPr>
            <w:tcW w:w="1122" w:type="dxa"/>
            <w:gridSpan w:val="2"/>
            <w:noWrap w:val="0"/>
            <w:vAlign w:val="center"/>
          </w:tcPr>
          <w:p>
            <w:pPr>
              <w:spacing w:line="570" w:lineRule="exact"/>
              <w:jc w:val="center"/>
              <w:rPr>
                <w:rFonts w:hint="eastAsia"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7" w:hRule="atLeast"/>
        </w:trPr>
        <w:tc>
          <w:tcPr>
            <w:tcW w:w="2376" w:type="dxa"/>
            <w:gridSpan w:val="2"/>
            <w:noWrap w:val="0"/>
            <w:vAlign w:val="center"/>
          </w:tcPr>
          <w:p>
            <w:pPr>
              <w:spacing w:line="570" w:lineRule="exact"/>
              <w:jc w:val="center"/>
              <w:rPr>
                <w:rFonts w:hint="eastAsia" w:ascii="宋体" w:hAnsi="宋体" w:cs="宋体"/>
                <w:szCs w:val="21"/>
              </w:rPr>
            </w:pPr>
            <w:r>
              <w:rPr>
                <w:rFonts w:hint="eastAsia" w:ascii="宋体" w:hAnsi="宋体" w:cs="宋体"/>
                <w:szCs w:val="21"/>
              </w:rPr>
              <w:t>合同总价</w:t>
            </w:r>
          </w:p>
        </w:tc>
        <w:tc>
          <w:tcPr>
            <w:tcW w:w="5963" w:type="dxa"/>
            <w:gridSpan w:val="8"/>
            <w:noWrap w:val="0"/>
            <w:vAlign w:val="center"/>
          </w:tcPr>
          <w:p>
            <w:pPr>
              <w:spacing w:line="570" w:lineRule="exact"/>
              <w:jc w:val="left"/>
              <w:rPr>
                <w:rFonts w:hint="eastAsia" w:ascii="宋体" w:hAnsi="宋体" w:cs="宋体"/>
                <w:szCs w:val="21"/>
              </w:rPr>
            </w:pPr>
            <w:r>
              <w:rPr>
                <w:rFonts w:hint="eastAsia" w:ascii="宋体" w:hAnsi="宋体" w:cs="宋体"/>
                <w:szCs w:val="21"/>
              </w:rPr>
              <w:t>人民币（大写）：</w:t>
            </w:r>
          </w:p>
        </w:tc>
        <w:tc>
          <w:tcPr>
            <w:tcW w:w="1113" w:type="dxa"/>
            <w:noWrap w:val="0"/>
            <w:vAlign w:val="center"/>
          </w:tcPr>
          <w:p>
            <w:pPr>
              <w:spacing w:line="570" w:lineRule="exact"/>
              <w:jc w:val="center"/>
              <w:rPr>
                <w:rFonts w:hint="eastAsia" w:ascii="宋体" w:hAnsi="宋体" w:cs="宋体"/>
                <w:szCs w:val="21"/>
              </w:rPr>
            </w:pPr>
          </w:p>
        </w:tc>
      </w:tr>
    </w:tbl>
    <w:p>
      <w:pPr>
        <w:spacing w:line="360" w:lineRule="auto"/>
        <w:ind w:firstLine="480" w:firstLineChars="200"/>
        <w:rPr>
          <w:rFonts w:hint="eastAsia" w:ascii="宋体" w:hAnsi="宋体" w:cs="宋体"/>
          <w:sz w:val="24"/>
        </w:rPr>
      </w:pPr>
      <w:r>
        <w:rPr>
          <w:rFonts w:hint="eastAsia" w:ascii="宋体" w:hAnsi="宋体" w:cs="宋体"/>
          <w:sz w:val="24"/>
        </w:rPr>
        <w:t>2.1 本合同数量除特别约定外均为暂定数量，结算时以实际签收的合格数量为准，乙方不得依合同数量与实际签收数量有差距而起诉甲方或向甲方索赔。实际发生金额超过本合同总额时，双方另行签订补充合同。</w:t>
      </w:r>
    </w:p>
    <w:p>
      <w:pPr>
        <w:spacing w:line="360" w:lineRule="auto"/>
        <w:ind w:firstLine="480" w:firstLineChars="200"/>
        <w:rPr>
          <w:rFonts w:hint="eastAsia" w:ascii="宋体" w:hAnsi="宋体" w:cs="宋体"/>
          <w:sz w:val="24"/>
        </w:rPr>
      </w:pPr>
      <w:r>
        <w:rPr>
          <w:rFonts w:hint="eastAsia" w:ascii="宋体" w:hAnsi="宋体" w:cs="宋体"/>
          <w:sz w:val="24"/>
        </w:rPr>
        <w:t>2.2 本合同的价格包含：包装、运输、装卸、包装及运输（含装卸）损耗、组装、验收、乙方人员的工资、工资性补贴、医疗保险、养老保险、失业保险、工伤、意外伤害、第三者责任等各种保险费、维修费、维护费、检验试验费、不合格产品更换、财务费、风险包干费、税金以及国家和地方政府规定应缴纳的各种费用。</w:t>
      </w:r>
    </w:p>
    <w:p>
      <w:pPr>
        <w:spacing w:line="360" w:lineRule="auto"/>
        <w:ind w:firstLine="480" w:firstLineChars="200"/>
        <w:rPr>
          <w:rFonts w:hint="eastAsia" w:ascii="宋体" w:hAnsi="宋体" w:cs="宋体"/>
          <w:sz w:val="24"/>
        </w:rPr>
      </w:pPr>
      <w:r>
        <w:rPr>
          <w:rFonts w:hint="eastAsia" w:ascii="宋体" w:hAnsi="宋体" w:cs="宋体"/>
          <w:sz w:val="24"/>
        </w:rPr>
        <w:t>2.3 本合同的价格调整方式</w:t>
      </w:r>
    </w:p>
    <w:p>
      <w:pPr>
        <w:spacing w:line="360" w:lineRule="auto"/>
        <w:ind w:firstLine="480" w:firstLineChars="200"/>
        <w:rPr>
          <w:rFonts w:hint="eastAsia" w:ascii="宋体" w:hAnsi="宋体" w:cs="宋体"/>
          <w:sz w:val="24"/>
        </w:rPr>
      </w:pPr>
      <w:r>
        <w:rPr>
          <w:rFonts w:hint="eastAsia" w:ascii="宋体" w:hAnsi="宋体" w:cs="宋体"/>
          <w:sz w:val="24"/>
        </w:rPr>
        <w:t>固定单价。无论市场价格涨跌，乙方不以任何理由要求甲方调整。</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标的物质量要求</w:t>
      </w:r>
    </w:p>
    <w:p>
      <w:pPr>
        <w:spacing w:line="360" w:lineRule="auto"/>
        <w:ind w:firstLine="480" w:firstLineChars="200"/>
        <w:rPr>
          <w:rFonts w:hint="eastAsia" w:ascii="宋体" w:hAnsi="宋体" w:cs="宋体"/>
          <w:sz w:val="24"/>
        </w:rPr>
      </w:pPr>
      <w:r>
        <w:rPr>
          <w:rFonts w:hint="eastAsia" w:ascii="宋体" w:hAnsi="宋体" w:cs="宋体"/>
          <w:sz w:val="24"/>
        </w:rPr>
        <w:t xml:space="preserve">3.1 质量必须符合电线电缆国家标准：    </w:t>
      </w:r>
    </w:p>
    <w:p>
      <w:pPr>
        <w:spacing w:line="360" w:lineRule="auto"/>
        <w:ind w:firstLine="480" w:firstLineChars="200"/>
        <w:rPr>
          <w:rFonts w:hint="eastAsia" w:ascii="宋体" w:hAnsi="宋体" w:cs="宋体"/>
          <w:sz w:val="24"/>
        </w:rPr>
      </w:pPr>
      <w:r>
        <w:rPr>
          <w:rFonts w:hint="eastAsia" w:ascii="宋体" w:hAnsi="宋体" w:cs="宋体"/>
          <w:sz w:val="24"/>
        </w:rPr>
        <w:t xml:space="preserve">3.1.1电缆标准：GB/T12706-2008、IEC502-1994    (YJV0.6/1KV) </w:t>
      </w:r>
    </w:p>
    <w:p>
      <w:pPr>
        <w:spacing w:line="360" w:lineRule="auto"/>
        <w:ind w:right="480" w:firstLine="480" w:firstLineChars="200"/>
        <w:rPr>
          <w:rFonts w:hint="eastAsia" w:ascii="宋体" w:hAnsi="宋体" w:cs="宋体"/>
          <w:sz w:val="24"/>
        </w:rPr>
      </w:pPr>
      <w:r>
        <w:rPr>
          <w:rFonts w:hint="eastAsia" w:ascii="宋体" w:hAnsi="宋体" w:cs="宋体"/>
          <w:sz w:val="24"/>
        </w:rPr>
        <w:t xml:space="preserve">               GB/T9330-2008、IEC227         (JLVV0.6/1KV) </w:t>
      </w:r>
    </w:p>
    <w:p>
      <w:pPr>
        <w:spacing w:line="360" w:lineRule="auto"/>
        <w:ind w:firstLine="480" w:firstLineChars="200"/>
        <w:rPr>
          <w:rFonts w:hint="eastAsia" w:ascii="宋体" w:hAnsi="宋体" w:cs="宋体"/>
          <w:sz w:val="24"/>
        </w:rPr>
      </w:pPr>
      <w:r>
        <w:rPr>
          <w:rFonts w:hint="eastAsia" w:ascii="宋体" w:hAnsi="宋体" w:cs="宋体"/>
          <w:sz w:val="24"/>
        </w:rPr>
        <w:t>3.1.2阻燃、耐火标准：GB/T12666-2008、GB/T19666-2005、IEC331</w:t>
      </w:r>
    </w:p>
    <w:p>
      <w:pPr>
        <w:spacing w:line="360" w:lineRule="auto"/>
        <w:ind w:firstLine="480" w:firstLineChars="200"/>
        <w:rPr>
          <w:rFonts w:hint="eastAsia" w:ascii="宋体" w:hAnsi="宋体" w:cs="宋体"/>
          <w:sz w:val="24"/>
        </w:rPr>
      </w:pPr>
      <w:r>
        <w:rPr>
          <w:rFonts w:hint="eastAsia" w:ascii="宋体" w:hAnsi="宋体" w:cs="宋体"/>
          <w:sz w:val="24"/>
        </w:rPr>
        <w:t>3.1.3低烟无卤电缆标准：GB/T18380-2008、GB/T19216-2008、GB/T17651-98</w:t>
      </w:r>
    </w:p>
    <w:p>
      <w:pPr>
        <w:spacing w:line="360" w:lineRule="auto"/>
        <w:ind w:firstLine="3240" w:firstLineChars="1350"/>
        <w:rPr>
          <w:rFonts w:hint="eastAsia" w:ascii="宋体" w:hAnsi="宋体" w:cs="宋体"/>
          <w:sz w:val="24"/>
        </w:rPr>
      </w:pPr>
      <w:r>
        <w:rPr>
          <w:rFonts w:hint="eastAsia" w:ascii="宋体" w:hAnsi="宋体" w:cs="宋体"/>
          <w:sz w:val="24"/>
        </w:rPr>
        <w:t>GB/T17650-98、 IEC6052</w:t>
      </w:r>
    </w:p>
    <w:p>
      <w:pPr>
        <w:spacing w:line="360" w:lineRule="auto"/>
        <w:ind w:firstLine="480" w:firstLineChars="200"/>
        <w:rPr>
          <w:rFonts w:hint="eastAsia" w:ascii="宋体" w:hAnsi="宋体" w:cs="宋体"/>
          <w:sz w:val="24"/>
        </w:rPr>
      </w:pPr>
      <w:r>
        <w:rPr>
          <w:rFonts w:hint="eastAsia" w:ascii="宋体" w:hAnsi="宋体" w:cs="宋体"/>
          <w:sz w:val="24"/>
        </w:rPr>
        <w:t>3.2 产品数量标准：国家质量监督检验检疫总局2005年颁布的《定量包装商品计量监督管理办法》和《定量包装商品净含量计量检验规则》。</w:t>
      </w:r>
    </w:p>
    <w:p>
      <w:pPr>
        <w:spacing w:line="360" w:lineRule="auto"/>
        <w:ind w:firstLine="480" w:firstLineChars="200"/>
        <w:rPr>
          <w:rFonts w:hint="eastAsia" w:ascii="宋体" w:hAnsi="宋体" w:cs="宋体"/>
          <w:sz w:val="24"/>
        </w:rPr>
      </w:pPr>
      <w:r>
        <w:rPr>
          <w:rFonts w:hint="eastAsia" w:ascii="宋体" w:hAnsi="宋体" w:cs="宋体"/>
          <w:sz w:val="24"/>
        </w:rPr>
        <w:t>3.3地方标准及业主要求高于本合同约定的标准时，执行最高的标准。</w:t>
      </w:r>
    </w:p>
    <w:p>
      <w:pPr>
        <w:spacing w:line="360" w:lineRule="auto"/>
        <w:ind w:firstLine="480" w:firstLineChars="200"/>
        <w:rPr>
          <w:rFonts w:hint="eastAsia" w:ascii="宋体" w:hAnsi="宋体" w:cs="宋体"/>
          <w:sz w:val="24"/>
        </w:rPr>
      </w:pPr>
      <w:r>
        <w:rPr>
          <w:rFonts w:hint="eastAsia" w:ascii="宋体" w:hAnsi="宋体" w:cs="宋体"/>
          <w:sz w:val="24"/>
        </w:rPr>
        <w:t>3.4 质量保证期限为：每一工程自该工程竣工验收合格后2年或需方提出的更长的期限，如质量保证期大于2年，具体期限由双方另行约定。</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交货时间、地点与方式</w:t>
      </w:r>
    </w:p>
    <w:p>
      <w:pPr>
        <w:spacing w:line="360" w:lineRule="auto"/>
        <w:ind w:firstLine="480" w:firstLineChars="200"/>
        <w:rPr>
          <w:rFonts w:hint="eastAsia" w:ascii="宋体" w:hAnsi="宋体" w:cs="宋体"/>
          <w:sz w:val="24"/>
        </w:rPr>
      </w:pPr>
      <w:r>
        <w:rPr>
          <w:rFonts w:hint="eastAsia" w:ascii="宋体" w:hAnsi="宋体" w:cs="宋体"/>
          <w:sz w:val="24"/>
        </w:rPr>
        <w:t>4.1 乙方应当在甲方指定的时间内交付标的物。</w:t>
      </w:r>
    </w:p>
    <w:p>
      <w:pPr>
        <w:spacing w:line="360" w:lineRule="auto"/>
        <w:ind w:firstLine="480" w:firstLineChars="200"/>
        <w:rPr>
          <w:rFonts w:hint="eastAsia" w:ascii="宋体" w:hAnsi="宋体" w:cs="宋体"/>
          <w:sz w:val="24"/>
        </w:rPr>
      </w:pPr>
      <w:r>
        <w:rPr>
          <w:rFonts w:hint="eastAsia" w:ascii="宋体" w:hAnsi="宋体" w:cs="宋体"/>
          <w:sz w:val="24"/>
        </w:rPr>
        <w:t>4.2 甲、乙双方约定以下两种交货方式中第</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种作为本合同交货方式：</w:t>
      </w:r>
    </w:p>
    <w:p>
      <w:pPr>
        <w:tabs>
          <w:tab w:val="center" w:pos="8820"/>
        </w:tabs>
        <w:spacing w:line="360" w:lineRule="auto"/>
        <w:ind w:firstLine="480" w:firstLineChars="200"/>
        <w:rPr>
          <w:rFonts w:hint="eastAsia" w:ascii="宋体" w:hAnsi="宋体" w:cs="宋体"/>
          <w:sz w:val="24"/>
        </w:rPr>
      </w:pPr>
      <w:r>
        <w:rPr>
          <w:rFonts w:hint="eastAsia" w:ascii="宋体" w:hAnsi="宋体" w:cs="宋体"/>
          <w:sz w:val="24"/>
        </w:rPr>
        <w:t>（1）乙方将标的物送至甲方指定</w:t>
      </w:r>
      <w:r>
        <w:rPr>
          <w:rFonts w:hint="eastAsia" w:ascii="宋体" w:hAnsi="宋体" w:cs="宋体"/>
          <w:sz w:val="24"/>
          <w:u w:val="single"/>
          <w:lang w:val="en-US" w:eastAsia="zh-CN"/>
        </w:rPr>
        <w:t xml:space="preserve">                            </w:t>
      </w:r>
      <w:r>
        <w:rPr>
          <w:rFonts w:hint="eastAsia" w:ascii="宋体" w:hAnsi="宋体" w:cs="宋体"/>
          <w:sz w:val="24"/>
        </w:rPr>
        <w:t>；</w:t>
      </w:r>
    </w:p>
    <w:p>
      <w:pPr>
        <w:tabs>
          <w:tab w:val="center" w:pos="7350"/>
        </w:tabs>
        <w:spacing w:line="360" w:lineRule="auto"/>
        <w:ind w:firstLine="480" w:firstLineChars="200"/>
        <w:rPr>
          <w:rFonts w:hint="eastAsia" w:ascii="宋体" w:hAnsi="宋体" w:cs="宋体"/>
          <w:sz w:val="24"/>
        </w:rPr>
      </w:pPr>
      <w:r>
        <w:rPr>
          <w:rFonts w:hint="eastAsia" w:ascii="宋体" w:hAnsi="宋体" w:cs="宋体"/>
          <w:sz w:val="24"/>
        </w:rPr>
        <w:t>（2）甲方到乙方指定地点</w:t>
      </w:r>
      <w:r>
        <w:rPr>
          <w:rFonts w:hint="eastAsia" w:ascii="宋体" w:hAnsi="宋体" w:cs="宋体"/>
          <w:sz w:val="24"/>
          <w:u w:val="single"/>
        </w:rPr>
        <w:tab/>
      </w:r>
      <w:r>
        <w:rPr>
          <w:rFonts w:hint="eastAsia" w:ascii="宋体" w:hAnsi="宋体" w:cs="宋体"/>
          <w:sz w:val="24"/>
        </w:rPr>
        <w:t>提取标的物，乙方负责装车。</w:t>
      </w:r>
    </w:p>
    <w:p>
      <w:pPr>
        <w:spacing w:line="360" w:lineRule="auto"/>
        <w:ind w:firstLine="480" w:firstLineChars="200"/>
        <w:rPr>
          <w:rFonts w:hint="eastAsia" w:ascii="宋体" w:hAnsi="宋体" w:cs="宋体"/>
          <w:sz w:val="24"/>
        </w:rPr>
      </w:pPr>
      <w:r>
        <w:rPr>
          <w:rFonts w:hint="eastAsia" w:ascii="宋体" w:hAnsi="宋体" w:cs="宋体"/>
          <w:sz w:val="24"/>
        </w:rPr>
        <w:t>4.3 乙方应于每次发货时提供该批次货物相应的检测报告、出厂合格证等质量文件随货同行，并保证标的物为本合同中约定品牌及生产厂家生产。</w:t>
      </w:r>
    </w:p>
    <w:p>
      <w:pPr>
        <w:spacing w:line="360" w:lineRule="auto"/>
        <w:ind w:firstLine="480" w:firstLineChars="200"/>
        <w:rPr>
          <w:rFonts w:hint="eastAsia" w:ascii="宋体" w:hAnsi="宋体" w:cs="宋体"/>
          <w:sz w:val="24"/>
        </w:rPr>
      </w:pPr>
      <w:r>
        <w:rPr>
          <w:rFonts w:hint="eastAsia" w:ascii="宋体" w:hAnsi="宋体" w:cs="宋体"/>
          <w:sz w:val="24"/>
        </w:rPr>
        <w:t>4.4甲、乙双方各自约定如下联系人为本合同相关签证、签认手续的确认人，超出如下约定人的，视为无效：</w:t>
      </w:r>
    </w:p>
    <w:p>
      <w:pPr>
        <w:tabs>
          <w:tab w:val="left" w:pos="5040"/>
          <w:tab w:val="left" w:pos="8200"/>
        </w:tabs>
        <w:spacing w:line="360" w:lineRule="auto"/>
        <w:ind w:firstLine="960" w:firstLineChars="400"/>
        <w:rPr>
          <w:rFonts w:hint="eastAsia" w:ascii="宋体" w:hAnsi="宋体" w:cs="宋体"/>
          <w:sz w:val="24"/>
        </w:rPr>
      </w:pPr>
      <w:r>
        <w:rPr>
          <w:rFonts w:hint="eastAsia" w:ascii="宋体" w:hAnsi="宋体" w:cs="宋体"/>
          <w:sz w:val="24"/>
        </w:rPr>
        <w:t>甲方现场联系人</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u w:val="single"/>
        </w:rPr>
        <w:tab/>
      </w:r>
      <w:r>
        <w:rPr>
          <w:rFonts w:hint="eastAsia" w:ascii="宋体" w:hAnsi="宋体" w:cs="宋体"/>
          <w:sz w:val="24"/>
        </w:rPr>
        <w:t>，电话</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u w:val="single"/>
        </w:rPr>
        <w:tab/>
      </w:r>
    </w:p>
    <w:p>
      <w:pPr>
        <w:tabs>
          <w:tab w:val="left" w:pos="5040"/>
          <w:tab w:val="left" w:pos="8190"/>
        </w:tabs>
        <w:spacing w:line="360" w:lineRule="auto"/>
        <w:ind w:firstLine="960" w:firstLineChars="400"/>
        <w:rPr>
          <w:rFonts w:hint="eastAsia" w:ascii="宋体" w:hAnsi="宋体" w:cs="宋体"/>
          <w:sz w:val="24"/>
        </w:rPr>
      </w:pPr>
      <w:r>
        <w:rPr>
          <w:rFonts w:hint="eastAsia" w:ascii="宋体" w:hAnsi="宋体" w:cs="宋体"/>
          <w:sz w:val="24"/>
        </w:rPr>
        <w:t>乙方现场联系人</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u w:val="single"/>
        </w:rPr>
        <w:tab/>
      </w:r>
      <w:r>
        <w:rPr>
          <w:rFonts w:hint="eastAsia" w:ascii="宋体" w:hAnsi="宋体" w:cs="宋体"/>
          <w:sz w:val="24"/>
        </w:rPr>
        <w:t>，电话</w:t>
      </w:r>
      <w:r>
        <w:rPr>
          <w:rFonts w:hint="eastAsia" w:ascii="宋体" w:hAnsi="宋体" w:cs="宋体"/>
          <w:sz w:val="24"/>
          <w:u w:val="single"/>
        </w:rPr>
        <w:t>：</w:t>
      </w:r>
      <w:r>
        <w:rPr>
          <w:rFonts w:hint="eastAsia" w:ascii="宋体" w:hAnsi="宋体" w:cs="宋体"/>
          <w:sz w:val="24"/>
          <w:u w:val="single"/>
          <w:lang w:val="en-US" w:eastAsia="zh-CN"/>
        </w:rPr>
        <w:t xml:space="preserve"> </w:t>
      </w:r>
      <w:r>
        <w:rPr>
          <w:rFonts w:hint="eastAsia" w:ascii="宋体" w:hAnsi="宋体" w:cs="宋体"/>
          <w:sz w:val="24"/>
          <w:u w:val="single"/>
        </w:rPr>
        <w:tab/>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标的物风险转移</w:t>
      </w:r>
    </w:p>
    <w:p>
      <w:pPr>
        <w:spacing w:line="360" w:lineRule="auto"/>
        <w:ind w:firstLine="480" w:firstLineChars="200"/>
        <w:rPr>
          <w:rFonts w:hint="eastAsia" w:ascii="宋体" w:hAnsi="宋体" w:cs="宋体"/>
          <w:sz w:val="24"/>
        </w:rPr>
      </w:pPr>
      <w:r>
        <w:rPr>
          <w:rFonts w:hint="eastAsia" w:ascii="宋体" w:hAnsi="宋体" w:cs="宋体"/>
          <w:sz w:val="24"/>
        </w:rPr>
        <w:t>5.1不论货物交付地点以及运输责任由谁承担，货物运输至甲方施工现场经双方签认并卸载至甲方指定地点后，标的物风险责任始转移至甲方。</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标的物验收</w:t>
      </w:r>
    </w:p>
    <w:p>
      <w:pPr>
        <w:spacing w:line="360" w:lineRule="auto"/>
        <w:ind w:firstLine="480" w:firstLineChars="200"/>
        <w:rPr>
          <w:rFonts w:hint="eastAsia" w:ascii="宋体" w:hAnsi="宋体" w:cs="宋体"/>
          <w:sz w:val="24"/>
        </w:rPr>
      </w:pPr>
      <w:r>
        <w:rPr>
          <w:rFonts w:hint="eastAsia" w:ascii="宋体" w:hAnsi="宋体" w:cs="宋体"/>
          <w:sz w:val="24"/>
        </w:rPr>
        <w:t>6.1 标的物交付时，应当由甲方指定的材料验收人员进行现场验收并签认数量。</w:t>
      </w:r>
    </w:p>
    <w:p>
      <w:pPr>
        <w:spacing w:line="360" w:lineRule="auto"/>
        <w:ind w:firstLine="480" w:firstLineChars="200"/>
        <w:rPr>
          <w:rFonts w:hint="eastAsia" w:ascii="宋体" w:hAnsi="宋体" w:cs="宋体"/>
          <w:sz w:val="24"/>
        </w:rPr>
      </w:pPr>
      <w:r>
        <w:rPr>
          <w:rFonts w:hint="eastAsia" w:ascii="宋体" w:hAnsi="宋体" w:cs="宋体"/>
          <w:sz w:val="24"/>
        </w:rPr>
        <w:t>6.2 按照本合同条款二中规定的合同标的物的质量要求进行验收，对于电线电缆的数量和质量达不到要求的甲方有权拒收。</w:t>
      </w:r>
    </w:p>
    <w:p>
      <w:pPr>
        <w:spacing w:line="360" w:lineRule="auto"/>
        <w:ind w:firstLine="480" w:firstLineChars="200"/>
        <w:rPr>
          <w:rFonts w:hint="eastAsia" w:ascii="宋体" w:hAnsi="宋体" w:cs="宋体"/>
          <w:sz w:val="24"/>
        </w:rPr>
      </w:pPr>
      <w:r>
        <w:rPr>
          <w:rFonts w:hint="eastAsia" w:ascii="宋体" w:hAnsi="宋体" w:cs="宋体"/>
          <w:sz w:val="24"/>
        </w:rPr>
        <w:t>6.3 双方如对电线电缆质量发生异议时，应该由具有检验资格的检验机构检验。如检验质量不合格，由乙方承担检验费用并承担由此给甲方造成的一切损失（含工期损失），如检验质量合格，由甲方承担检验费用。</w:t>
      </w:r>
    </w:p>
    <w:p>
      <w:pPr>
        <w:spacing w:line="360" w:lineRule="auto"/>
        <w:ind w:firstLine="480" w:firstLineChars="200"/>
        <w:rPr>
          <w:rFonts w:hint="eastAsia" w:ascii="宋体" w:hAnsi="宋体" w:cs="宋体"/>
          <w:sz w:val="24"/>
        </w:rPr>
      </w:pPr>
      <w:r>
        <w:rPr>
          <w:rFonts w:hint="eastAsia" w:ascii="宋体" w:hAnsi="宋体" w:cs="宋体"/>
          <w:sz w:val="24"/>
        </w:rPr>
        <w:t>6.4 若乙方未提供本合同第4.3条中所提到的文件，甲方有权拒收该批货物，由此造成的损失由乙方承担。</w:t>
      </w:r>
    </w:p>
    <w:p>
      <w:pPr>
        <w:spacing w:line="360" w:lineRule="auto"/>
        <w:ind w:firstLine="480" w:firstLineChars="200"/>
        <w:rPr>
          <w:rFonts w:hint="eastAsia" w:ascii="宋体" w:hAnsi="宋体" w:cs="宋体"/>
          <w:sz w:val="24"/>
        </w:rPr>
      </w:pPr>
      <w:r>
        <w:rPr>
          <w:rFonts w:hint="eastAsia" w:ascii="宋体" w:hAnsi="宋体" w:cs="宋体"/>
          <w:sz w:val="24"/>
        </w:rPr>
        <w:t>6.5 甲方的验收行为不等同于对乙方所提供商品的认可，如后续发现乙方提供商品存在质量问题，乙方应负责维修、更换，并承担由此给甲方造成的损失。</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结算及支付</w:t>
      </w:r>
    </w:p>
    <w:p>
      <w:pPr>
        <w:tabs>
          <w:tab w:val="left" w:pos="7560"/>
        </w:tabs>
        <w:spacing w:line="360" w:lineRule="auto"/>
        <w:ind w:firstLine="480" w:firstLineChars="200"/>
        <w:rPr>
          <w:rFonts w:hint="default" w:ascii="宋体" w:hAnsi="宋体" w:eastAsia="宋体" w:cs="宋体"/>
          <w:sz w:val="24"/>
          <w:lang w:val="en-US" w:eastAsia="zh-CN"/>
        </w:rPr>
      </w:pPr>
      <w:r>
        <w:rPr>
          <w:rFonts w:hint="eastAsia" w:ascii="宋体" w:hAnsi="宋体" w:cs="宋体"/>
          <w:sz w:val="24"/>
        </w:rPr>
        <w:t>7.1 甲方付款前乙方必须先出具真实、有效的发票，甲方在确认发票无误后付款。付款方式：</w:t>
      </w:r>
      <w:r>
        <w:rPr>
          <w:rFonts w:hint="eastAsia" w:ascii="宋体" w:hAnsi="宋体"/>
          <w:sz w:val="24"/>
          <w:u w:val="single"/>
          <w:lang w:val="en-US" w:eastAsia="zh-CN"/>
        </w:rPr>
        <w:t xml:space="preserve">                                    </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发票开具要求及责任</w:t>
      </w:r>
    </w:p>
    <w:p>
      <w:pPr>
        <w:autoSpaceDE w:val="0"/>
        <w:autoSpaceDN w:val="0"/>
        <w:adjustRightInd w:val="0"/>
        <w:spacing w:after="156" w:afterLines="50" w:line="360" w:lineRule="auto"/>
        <w:ind w:firstLine="480" w:firstLineChars="200"/>
        <w:rPr>
          <w:rFonts w:hint="eastAsia" w:ascii="宋体" w:hAnsi="宋体" w:cs="宋体"/>
          <w:sz w:val="24"/>
          <w:lang w:val="zh-CN"/>
        </w:rPr>
      </w:pPr>
      <w:r>
        <w:rPr>
          <w:rFonts w:hint="eastAsia" w:ascii="宋体" w:hAnsi="宋体" w:cs="宋体"/>
          <w:sz w:val="24"/>
        </w:rPr>
        <w:t xml:space="preserve">8.1 </w:t>
      </w:r>
      <w:r>
        <w:rPr>
          <w:rFonts w:hint="eastAsia" w:ascii="宋体" w:hAnsi="宋体" w:cs="宋体"/>
          <w:sz w:val="24"/>
          <w:lang w:val="zh-CN"/>
        </w:rPr>
        <w:t>乙方发票开具重要信息如下，否则甲方可以拒收。</w:t>
      </w:r>
    </w:p>
    <w:tbl>
      <w:tblPr>
        <w:tblStyle w:val="39"/>
        <w:tblW w:w="772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0"/>
        <w:gridCol w:w="5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名</w:t>
            </w:r>
            <w:r>
              <w:rPr>
                <w:rFonts w:hint="eastAsia"/>
                <w:b/>
                <w:bCs/>
              </w:rPr>
              <w:t xml:space="preserve">        </w:t>
            </w:r>
            <w:r>
              <w:rPr>
                <w:rFonts w:hint="eastAsia"/>
                <w:b/>
                <w:bCs/>
                <w:lang w:val="zh-CN"/>
              </w:rPr>
              <w:t>称：</w:t>
            </w:r>
          </w:p>
        </w:tc>
        <w:tc>
          <w:tcPr>
            <w:tcW w:w="5884" w:type="dxa"/>
            <w:tcBorders>
              <w:top w:val="nil"/>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szCs w:val="21"/>
                <w:lang w:val="zh-CN"/>
              </w:rPr>
              <w:t>中铁城建集团第一工程有限公司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纳税人识别号：</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iCs/>
                <w:szCs w:val="21"/>
                <w:lang w:val="zh-CN"/>
              </w:rPr>
              <w:t>9114</w:t>
            </w:r>
            <w:r>
              <w:rPr>
                <w:rFonts w:hint="eastAsia" w:ascii="宋体" w:hAnsi="宋体" w:cs="宋体"/>
                <w:iCs/>
                <w:szCs w:val="21"/>
              </w:rPr>
              <w:t xml:space="preserve"> </w:t>
            </w:r>
            <w:r>
              <w:rPr>
                <w:rFonts w:hint="eastAsia" w:ascii="宋体" w:hAnsi="宋体" w:cs="宋体"/>
                <w:iCs/>
                <w:szCs w:val="21"/>
                <w:lang w:val="zh-CN"/>
              </w:rPr>
              <w:t>0000</w:t>
            </w:r>
            <w:r>
              <w:rPr>
                <w:rFonts w:hint="eastAsia" w:ascii="宋体" w:hAnsi="宋体" w:cs="宋体"/>
                <w:iCs/>
                <w:szCs w:val="21"/>
              </w:rPr>
              <w:t xml:space="preserve"> </w:t>
            </w:r>
            <w:r>
              <w:rPr>
                <w:rFonts w:hint="eastAsia" w:ascii="宋体" w:hAnsi="宋体" w:cs="宋体"/>
                <w:iCs/>
                <w:szCs w:val="21"/>
                <w:lang w:val="zh-CN"/>
              </w:rPr>
              <w:t>0870</w:t>
            </w:r>
            <w:r>
              <w:rPr>
                <w:rFonts w:hint="eastAsia" w:ascii="宋体" w:hAnsi="宋体" w:cs="宋体"/>
                <w:iCs/>
                <w:szCs w:val="21"/>
              </w:rPr>
              <w:t xml:space="preserve"> </w:t>
            </w:r>
            <w:r>
              <w:rPr>
                <w:rFonts w:hint="eastAsia" w:ascii="宋体" w:hAnsi="宋体" w:cs="宋体"/>
                <w:iCs/>
                <w:szCs w:val="21"/>
                <w:lang w:val="zh-CN"/>
              </w:rPr>
              <w:t>963902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地</w:t>
            </w:r>
            <w:r>
              <w:rPr>
                <w:rFonts w:hint="eastAsia"/>
                <w:b/>
                <w:bCs/>
              </w:rPr>
              <w:t xml:space="preserve">        </w:t>
            </w:r>
            <w:r>
              <w:rPr>
                <w:rFonts w:hint="eastAsia"/>
                <w:b/>
                <w:bCs/>
                <w:lang w:val="zh-CN"/>
              </w:rPr>
              <w:t>址：</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iCs/>
                <w:szCs w:val="21"/>
                <w:lang w:val="zh-CN"/>
              </w:rPr>
              <w:t>太原市万柏林区迎泽西大街169号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电</w:t>
            </w:r>
            <w:r>
              <w:rPr>
                <w:rFonts w:hint="eastAsia"/>
                <w:b/>
                <w:bCs/>
              </w:rPr>
              <w:t xml:space="preserve">        </w:t>
            </w:r>
            <w:r>
              <w:rPr>
                <w:rFonts w:hint="eastAsia"/>
                <w:b/>
                <w:bCs/>
                <w:lang w:val="zh-CN"/>
              </w:rPr>
              <w:t>话：</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iCs/>
                <w:szCs w:val="21"/>
                <w:lang w:val="zh-CN"/>
              </w:rPr>
              <w:t>0351-2654722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开</w:t>
            </w:r>
            <w:r>
              <w:rPr>
                <w:rFonts w:hint="eastAsia"/>
                <w:b/>
                <w:bCs/>
              </w:rPr>
              <w:t xml:space="preserve">   </w:t>
            </w:r>
            <w:r>
              <w:rPr>
                <w:rFonts w:hint="eastAsia"/>
                <w:b/>
                <w:bCs/>
                <w:lang w:val="zh-CN"/>
              </w:rPr>
              <w:t>户</w:t>
            </w:r>
            <w:r>
              <w:rPr>
                <w:rFonts w:hint="eastAsia"/>
                <w:b/>
                <w:bCs/>
              </w:rPr>
              <w:t xml:space="preserve">   </w:t>
            </w:r>
            <w:r>
              <w:rPr>
                <w:rFonts w:hint="eastAsia"/>
                <w:b/>
                <w:bCs/>
                <w:lang w:val="zh-CN"/>
              </w:rPr>
              <w:t>行：</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iCs/>
                <w:szCs w:val="21"/>
                <w:lang w:val="zh-CN"/>
              </w:rPr>
              <w:t>中国建设银行太原市西矿街支行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lang w:eastAsia="en-US"/>
              </w:rPr>
            </w:pPr>
            <w:r>
              <w:rPr>
                <w:rFonts w:hint="eastAsia"/>
                <w:b/>
                <w:bCs/>
                <w:lang w:val="zh-CN"/>
              </w:rPr>
              <w:t>账</w:t>
            </w:r>
            <w:r>
              <w:rPr>
                <w:rFonts w:hint="eastAsia"/>
                <w:b/>
                <w:bCs/>
              </w:rPr>
              <w:t xml:space="preserve">        </w:t>
            </w:r>
            <w:r>
              <w:rPr>
                <w:rFonts w:hint="eastAsia"/>
                <w:b/>
                <w:bCs/>
                <w:lang w:val="zh-CN"/>
              </w:rPr>
              <w:t>号：</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iCs/>
                <w:szCs w:val="21"/>
                <w:lang w:val="zh-CN"/>
              </w:rPr>
              <w:t>14001836208050503733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20" w:hRule="atLeast"/>
          <w:jc w:val="center"/>
        </w:trPr>
        <w:tc>
          <w:tcPr>
            <w:tcW w:w="1840" w:type="dxa"/>
            <w:tcBorders>
              <w:top w:val="nil"/>
              <w:left w:val="nil"/>
              <w:bottom w:val="nil"/>
              <w:right w:val="nil"/>
            </w:tcBorders>
            <w:noWrap w:val="0"/>
            <w:vAlign w:val="center"/>
          </w:tcPr>
          <w:p>
            <w:pPr>
              <w:rPr>
                <w:rFonts w:hint="eastAsia"/>
                <w:b/>
                <w:bCs/>
              </w:rPr>
            </w:pPr>
            <w:r>
              <w:rPr>
                <w:rFonts w:hint="eastAsia"/>
                <w:b/>
                <w:bCs/>
              </w:rPr>
              <w:t>备        注：</w:t>
            </w:r>
          </w:p>
        </w:tc>
        <w:tc>
          <w:tcPr>
            <w:tcW w:w="5884" w:type="dxa"/>
            <w:tcBorders>
              <w:left w:val="nil"/>
              <w:right w:val="nil"/>
            </w:tcBorders>
            <w:noWrap w:val="0"/>
            <w:vAlign w:val="center"/>
          </w:tcPr>
          <w:p>
            <w:pPr>
              <w:adjustRightInd w:val="0"/>
              <w:snapToGrid w:val="0"/>
              <w:spacing w:line="0" w:lineRule="atLeast"/>
              <w:rPr>
                <w:rFonts w:hint="eastAsia" w:ascii="宋体" w:hAnsi="宋体" w:cs="宋体"/>
                <w:szCs w:val="21"/>
              </w:rPr>
            </w:pPr>
            <w:r>
              <w:rPr>
                <w:rFonts w:hint="eastAsia" w:ascii="宋体" w:hAnsi="宋体" w:cs="宋体"/>
                <w:szCs w:val="21"/>
              </w:rPr>
              <w:t>工程名称：中车集团实业有限公司棚户区安置房项目改造（十四地块）项目部</w:t>
            </w:r>
          </w:p>
          <w:p>
            <w:pPr>
              <w:adjustRightInd w:val="0"/>
              <w:snapToGrid w:val="0"/>
              <w:spacing w:line="0" w:lineRule="atLeast"/>
              <w:rPr>
                <w:rFonts w:hint="eastAsia" w:ascii="宋体" w:hAnsi="宋体" w:cs="宋体"/>
                <w:szCs w:val="21"/>
              </w:rPr>
            </w:pPr>
            <w:r>
              <w:rPr>
                <w:rFonts w:hint="eastAsia" w:ascii="宋体" w:hAnsi="宋体" w:cs="宋体"/>
                <w:szCs w:val="21"/>
              </w:rPr>
              <w:t>项目地址：太原市北中环五一路口</w:t>
            </w:r>
          </w:p>
        </w:tc>
      </w:tr>
    </w:tbl>
    <w:p>
      <w:pPr>
        <w:autoSpaceDE w:val="0"/>
        <w:autoSpaceDN w:val="0"/>
        <w:adjustRightInd w:val="0"/>
        <w:spacing w:before="156" w:beforeLines="50" w:line="360" w:lineRule="auto"/>
        <w:ind w:firstLine="480" w:firstLineChars="200"/>
        <w:rPr>
          <w:rFonts w:hint="eastAsia" w:ascii="宋体" w:hAnsi="宋体" w:cs="宋体"/>
          <w:sz w:val="24"/>
        </w:rPr>
      </w:pPr>
      <w:r>
        <w:rPr>
          <w:rFonts w:hint="eastAsia" w:ascii="宋体" w:hAnsi="宋体" w:cs="宋体"/>
          <w:sz w:val="24"/>
        </w:rPr>
        <w:t xml:space="preserve">8.2 </w:t>
      </w:r>
      <w:r>
        <w:rPr>
          <w:rFonts w:hint="eastAsia" w:ascii="宋体" w:hAnsi="宋体" w:cs="宋体"/>
          <w:sz w:val="24"/>
          <w:lang w:val="zh-CN"/>
        </w:rPr>
        <w:t>每批货物经甲方验收合格后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lang w:val="zh-CN"/>
        </w:rPr>
        <w:t>日内，乙方应按甲方要求出具合法有效的</w:t>
      </w:r>
      <w:r>
        <w:rPr>
          <w:rFonts w:hint="eastAsia" w:ascii="宋体" w:hAnsi="宋体" w:cs="宋体"/>
          <w:b/>
          <w:bCs/>
          <w:sz w:val="24"/>
          <w:lang w:val="zh-CN"/>
        </w:rPr>
        <w:t>增值税</w:t>
      </w:r>
      <w:r>
        <w:rPr>
          <w:rFonts w:hint="eastAsia" w:ascii="宋体" w:hAnsi="宋体" w:cs="宋体"/>
          <w:b/>
          <w:bCs/>
          <w:sz w:val="24"/>
          <w:u w:val="single"/>
        </w:rPr>
        <w:t xml:space="preserve">   </w:t>
      </w:r>
      <w:r>
        <w:rPr>
          <w:rFonts w:hint="eastAsia" w:ascii="宋体" w:hAnsi="宋体" w:cs="宋体"/>
          <w:b/>
          <w:bCs/>
          <w:sz w:val="24"/>
          <w:u w:val="single"/>
          <w:lang w:val="en-US" w:eastAsia="zh-CN"/>
        </w:rPr>
        <w:t xml:space="preserve"> </w:t>
      </w:r>
      <w:r>
        <w:rPr>
          <w:rFonts w:hint="eastAsia" w:ascii="宋体" w:hAnsi="宋体" w:cs="宋体"/>
          <w:b/>
          <w:bCs/>
          <w:sz w:val="24"/>
          <w:u w:val="single"/>
        </w:rPr>
        <w:t xml:space="preserve">  </w:t>
      </w:r>
      <w:r>
        <w:rPr>
          <w:rFonts w:hint="eastAsia" w:ascii="宋体" w:hAnsi="宋体" w:cs="宋体"/>
          <w:b/>
          <w:bCs/>
          <w:sz w:val="24"/>
        </w:rPr>
        <w:t>发票</w:t>
      </w:r>
      <w:r>
        <w:rPr>
          <w:rFonts w:hint="eastAsia" w:ascii="宋体" w:hAnsi="宋体" w:cs="宋体"/>
          <w:sz w:val="24"/>
        </w:rPr>
        <w:t>。乙方应在开票之后</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个工作日内将发票送达甲方，甲方签收发票的日期为发票的送达日期。</w:t>
      </w:r>
    </w:p>
    <w:p>
      <w:pPr>
        <w:spacing w:line="360" w:lineRule="auto"/>
        <w:ind w:firstLine="480" w:firstLineChars="200"/>
        <w:rPr>
          <w:rFonts w:hint="eastAsia" w:ascii="宋体" w:hAnsi="宋体" w:cs="宋体"/>
          <w:sz w:val="24"/>
        </w:rPr>
      </w:pPr>
      <w:r>
        <w:rPr>
          <w:rFonts w:hint="eastAsia" w:ascii="宋体" w:hAnsi="宋体" w:cs="宋体"/>
          <w:sz w:val="24"/>
        </w:rPr>
        <w:t>8.3 乙方开具的发票不合格的，甲方有权迟延支付应付款项，且不承担任何违约责任，乙方的各项合同义务仍按合同约定履行，并在</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lang w:val="zh-CN"/>
        </w:rPr>
        <w:t>日内重新开具合格的发票，</w:t>
      </w:r>
      <w:r>
        <w:rPr>
          <w:rFonts w:hint="eastAsia" w:ascii="宋体" w:hAnsi="宋体" w:cs="宋体"/>
          <w:sz w:val="24"/>
        </w:rPr>
        <w:t>拒绝或逾期不更换发票的，甲方有权解除合同，并拒付或延付后续款项。不合格发票包括但不限于以下情形：开具虚假、作废等无效发票或者违反国家法律法规开具、提供发票的；开具发票种类错误；开具发票税率与合同约定不符；发票上的信息错误；因乙方迟延送达、开具错误、发票折叠污损等原因造成发票认证失败等。</w:t>
      </w:r>
    </w:p>
    <w:p>
      <w:pPr>
        <w:spacing w:line="360" w:lineRule="auto"/>
        <w:ind w:firstLine="504"/>
        <w:rPr>
          <w:rFonts w:hint="eastAsia" w:ascii="宋体" w:hAnsi="宋体" w:cs="宋体"/>
          <w:sz w:val="24"/>
        </w:rPr>
      </w:pPr>
      <w:r>
        <w:rPr>
          <w:rFonts w:hint="eastAsia" w:ascii="宋体" w:hAnsi="宋体" w:cs="宋体"/>
          <w:sz w:val="24"/>
        </w:rPr>
        <w:t>8.4 乙方提供的发票为增值税专用发票的，乙方还应遵守如下条款：</w:t>
      </w:r>
    </w:p>
    <w:p>
      <w:pPr>
        <w:autoSpaceDE w:val="0"/>
        <w:autoSpaceDN w:val="0"/>
        <w:adjustRightInd w:val="0"/>
        <w:spacing w:line="360" w:lineRule="auto"/>
        <w:ind w:firstLine="480" w:firstLineChars="200"/>
        <w:rPr>
          <w:rFonts w:hint="eastAsia" w:ascii="宋体" w:hAnsi="宋体" w:cs="宋体"/>
          <w:sz w:val="24"/>
          <w:lang w:val="zh-CN"/>
        </w:rPr>
      </w:pPr>
      <w:r>
        <w:rPr>
          <w:rFonts w:hint="eastAsia" w:ascii="宋体" w:hAnsi="宋体" w:cs="宋体"/>
          <w:sz w:val="24"/>
        </w:rPr>
        <w:t>（1）</w:t>
      </w:r>
      <w:r>
        <w:rPr>
          <w:rFonts w:hint="eastAsia" w:ascii="宋体" w:hAnsi="宋体" w:cs="宋体"/>
          <w:sz w:val="24"/>
          <w:lang w:val="zh-CN"/>
        </w:rPr>
        <w:t>乙方提供增值税专用发票必须交甲方办理发票交接手续，无甲方经办人员签认，视为乙方未提供增值税专用发票，如发生增值税专用发票丢失，由乙方承担责任。</w:t>
      </w:r>
    </w:p>
    <w:p>
      <w:pPr>
        <w:spacing w:line="360" w:lineRule="auto"/>
        <w:ind w:firstLine="480" w:firstLineChars="200"/>
        <w:rPr>
          <w:rFonts w:hint="eastAsia" w:ascii="宋体" w:hAnsi="宋体" w:cs="宋体"/>
          <w:sz w:val="24"/>
        </w:rPr>
      </w:pPr>
      <w:r>
        <w:rPr>
          <w:rFonts w:hint="eastAsia" w:ascii="宋体" w:hAnsi="宋体" w:cs="宋体"/>
          <w:sz w:val="24"/>
          <w:lang w:val="zh-CN"/>
        </w:rPr>
        <w:t>（2）</w:t>
      </w:r>
      <w:r>
        <w:rPr>
          <w:rFonts w:hint="eastAsia" w:ascii="宋体" w:hAnsi="宋体" w:cs="宋体"/>
          <w:sz w:val="24"/>
        </w:rPr>
        <w:t>因乙方迟延送达、开具错误等原因导致其提供的增值税专用发票没有通过税务部门认证，造成甲方不能抵扣的，甲方有权要求乙方重新开具发票，并拒绝付款。</w:t>
      </w:r>
    </w:p>
    <w:p>
      <w:pPr>
        <w:spacing w:line="360" w:lineRule="auto"/>
        <w:ind w:firstLine="504"/>
        <w:rPr>
          <w:rFonts w:hint="eastAsia" w:ascii="宋体" w:hAnsi="宋体" w:cs="宋体"/>
          <w:sz w:val="24"/>
        </w:rPr>
      </w:pPr>
      <w:r>
        <w:rPr>
          <w:rFonts w:hint="eastAsia" w:ascii="宋体" w:hAnsi="宋体" w:cs="宋体"/>
          <w:sz w:val="24"/>
        </w:rPr>
        <w:t>（3）乙方未按合同约定开具增值税专用发票或实际开具的增值税专用发票税率低于合同中约定税率的，乙方除应向甲方支付无法抵扣部分的税款金额外，乙方还应向甲方支付合同总价</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的违约金，违约金不足以弥补甲方损失的，乙方应予赔偿，甲方有权终止合同。</w:t>
      </w:r>
    </w:p>
    <w:p>
      <w:pPr>
        <w:spacing w:line="360" w:lineRule="auto"/>
        <w:ind w:firstLine="504"/>
        <w:rPr>
          <w:rFonts w:hint="eastAsia" w:ascii="宋体" w:hAnsi="宋体" w:cs="宋体"/>
          <w:sz w:val="24"/>
        </w:rPr>
      </w:pPr>
      <w:r>
        <w:rPr>
          <w:rFonts w:hint="eastAsia" w:ascii="宋体" w:hAnsi="宋体" w:cs="宋体"/>
          <w:sz w:val="24"/>
        </w:rPr>
        <w:t>（4）乙方开具虚假、作废等无效发票或者违反国家法律法规开具、提供发票的，乙方应自行承担相应法律责任，并应向甲方支付合同总价</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的违约金，乙方提供履约保证金的，甲方有权扣除乙方全部履约保证金，以上违约金或履约保证金不足以弥补甲方损失的，乙方应予赔偿；乙方重新开具的发票仍与合同约定不符的，乙方除按本项前述约定承担责任外，甲方拒绝接收；乙方无法开具发票的，乙方除按本项前述约定承担责任外，乙方应退还甲方已付款项，赔偿由此给甲方造成的全部损失，甲方有权终止合同。</w:t>
      </w:r>
    </w:p>
    <w:p>
      <w:pPr>
        <w:spacing w:line="360" w:lineRule="auto"/>
        <w:ind w:firstLine="504"/>
        <w:rPr>
          <w:rFonts w:hint="eastAsia" w:ascii="宋体" w:hAnsi="宋体" w:cs="宋体"/>
          <w:sz w:val="24"/>
        </w:rPr>
      </w:pPr>
      <w:r>
        <w:rPr>
          <w:rFonts w:hint="eastAsia" w:ascii="宋体" w:hAnsi="宋体" w:cs="宋体"/>
          <w:sz w:val="24"/>
        </w:rPr>
        <w:t>（5）乙方账户必须是合同约定的在主管国税机关备案的账户，若账户变更应及时通知甲方，并签订合同变更或补充合同；如乙方随意改变账户，甲方将拒付货款，由此引起的延期付款责任及相关的损失由乙方承担。</w:t>
      </w:r>
    </w:p>
    <w:p>
      <w:pPr>
        <w:spacing w:line="360" w:lineRule="auto"/>
        <w:ind w:firstLine="504"/>
        <w:rPr>
          <w:rFonts w:hint="eastAsia" w:ascii="宋体" w:hAnsi="宋体" w:cs="宋体"/>
          <w:sz w:val="24"/>
        </w:rPr>
      </w:pPr>
      <w:r>
        <w:rPr>
          <w:rFonts w:hint="eastAsia" w:ascii="宋体" w:hAnsi="宋体" w:cs="宋体"/>
          <w:sz w:val="24"/>
        </w:rPr>
        <w:t>（6） 因乙方自身纳税人身份，纳税方式变化带来的适用增值税税率的变化，导致对甲方的损失应由乙方承担。</w:t>
      </w:r>
    </w:p>
    <w:p>
      <w:pPr>
        <w:spacing w:line="360" w:lineRule="auto"/>
        <w:ind w:firstLine="504"/>
        <w:rPr>
          <w:rFonts w:hint="eastAsia" w:ascii="宋体" w:hAnsi="宋体" w:cs="宋体"/>
          <w:sz w:val="24"/>
        </w:rPr>
      </w:pPr>
      <w:r>
        <w:rPr>
          <w:rFonts w:hint="eastAsia" w:ascii="宋体" w:hAnsi="宋体" w:cs="宋体"/>
          <w:sz w:val="24"/>
        </w:rPr>
        <w:t>（7）如果甲方丢失增值税专用发票联和抵扣联，乙方应向甲方提供专用发票记账联复印件及主管税务机关出具的《丢失增值税专用发票已报税证明单》。</w:t>
      </w:r>
    </w:p>
    <w:p>
      <w:pPr>
        <w:spacing w:line="360" w:lineRule="auto"/>
        <w:ind w:firstLine="504"/>
        <w:rPr>
          <w:rFonts w:hint="eastAsia" w:ascii="宋体" w:hAnsi="宋体" w:cs="宋体"/>
          <w:b/>
          <w:sz w:val="24"/>
        </w:rPr>
      </w:pPr>
      <w:r>
        <w:rPr>
          <w:rFonts w:hint="eastAsia" w:ascii="宋体" w:hAnsi="宋体" w:cs="宋体"/>
          <w:sz w:val="24"/>
        </w:rPr>
        <w:t>（8）如果获得开具的汇总专用发票，则乙方应提供其防伪税控系统开具的《销售货物或者提供应税劳务清单》，并加盖发票专用章。</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bCs/>
          <w:sz w:val="24"/>
        </w:rPr>
        <w:t>违约</w:t>
      </w:r>
      <w:r>
        <w:rPr>
          <w:rFonts w:hint="eastAsia" w:ascii="宋体" w:hAnsi="宋体" w:cs="宋体"/>
          <w:b/>
          <w:sz w:val="24"/>
        </w:rPr>
        <w:t>责任</w:t>
      </w:r>
    </w:p>
    <w:p>
      <w:pPr>
        <w:spacing w:line="360" w:lineRule="auto"/>
        <w:ind w:firstLine="480" w:firstLineChars="200"/>
        <w:rPr>
          <w:rFonts w:hint="eastAsia" w:ascii="宋体" w:hAnsi="宋体" w:cs="宋体"/>
          <w:sz w:val="24"/>
        </w:rPr>
      </w:pPr>
      <w:r>
        <w:rPr>
          <w:rFonts w:hint="eastAsia" w:ascii="宋体" w:hAnsi="宋体" w:cs="宋体"/>
          <w:sz w:val="24"/>
        </w:rPr>
        <w:t>9.1 乙方不履行合同义务或者履行合同义务不符合约定，给甲方造成损失的，乙方应当赔偿因违约所造成的损失，包括直接损失和间接损失。</w:t>
      </w:r>
    </w:p>
    <w:p>
      <w:pPr>
        <w:spacing w:line="360" w:lineRule="auto"/>
        <w:ind w:firstLine="480" w:firstLineChars="200"/>
        <w:rPr>
          <w:rFonts w:hint="eastAsia" w:ascii="宋体" w:hAnsi="宋体" w:cs="宋体"/>
          <w:sz w:val="24"/>
        </w:rPr>
      </w:pPr>
      <w:r>
        <w:rPr>
          <w:rFonts w:hint="eastAsia" w:ascii="宋体" w:hAnsi="宋体" w:cs="宋体"/>
          <w:sz w:val="24"/>
        </w:rPr>
        <w:t>9.2 未经甲方书面同意，乙方不得将本合同项下的权利全部或者部分转让给第三人。如乙方违反本约定，视同乙方违约，乙方承担由此给甲方造成的全部损失，并承担合同总价10%的违约金。</w:t>
      </w:r>
    </w:p>
    <w:p>
      <w:pPr>
        <w:spacing w:line="360" w:lineRule="auto"/>
        <w:ind w:firstLine="480" w:firstLineChars="200"/>
        <w:rPr>
          <w:rFonts w:hint="eastAsia" w:ascii="宋体" w:hAnsi="宋体" w:cs="宋体"/>
          <w:sz w:val="24"/>
        </w:rPr>
      </w:pPr>
      <w:r>
        <w:rPr>
          <w:rFonts w:hint="eastAsia" w:ascii="宋体" w:hAnsi="宋体" w:cs="宋体"/>
          <w:sz w:val="24"/>
        </w:rPr>
        <w:t>9.3 乙方必须提供符合国家标准的合同约定的货物以满足甲方施工要求，若发现乙方在供应过程中以次充好，视同乙方违约，乙方承担由此给甲方造成的全部损失，并承担合同总价20%的违约金。若乙方提供的货物连续两次不符合质量标准，甲方有权解除合同。</w:t>
      </w:r>
    </w:p>
    <w:p>
      <w:pPr>
        <w:spacing w:line="360" w:lineRule="auto"/>
        <w:ind w:firstLine="480" w:firstLineChars="200"/>
        <w:rPr>
          <w:rFonts w:hint="eastAsia" w:ascii="宋体" w:hAnsi="宋体" w:cs="宋体"/>
          <w:sz w:val="24"/>
        </w:rPr>
      </w:pPr>
      <w:r>
        <w:rPr>
          <w:rFonts w:hint="eastAsia" w:ascii="宋体" w:hAnsi="宋体" w:cs="宋体"/>
          <w:sz w:val="24"/>
        </w:rPr>
        <w:t>9.4 若有不可抗力情况，乙方应自不可抗力情况发生之日起3天内书面或传真方式通知甲方，以便甲方调整；若因乙方供货不及时给甲方造成损失时，应赔偿甲方相应的经济损失，并且甲方有权解除合同。</w:t>
      </w:r>
    </w:p>
    <w:p>
      <w:pPr>
        <w:spacing w:line="360" w:lineRule="auto"/>
        <w:ind w:firstLine="480" w:firstLineChars="200"/>
        <w:rPr>
          <w:rFonts w:hint="eastAsia" w:ascii="宋体" w:hAnsi="宋体" w:cs="宋体"/>
          <w:sz w:val="24"/>
        </w:rPr>
      </w:pPr>
      <w:r>
        <w:rPr>
          <w:rFonts w:hint="eastAsia" w:ascii="宋体" w:hAnsi="宋体" w:cs="宋体"/>
          <w:sz w:val="24"/>
        </w:rPr>
        <w:t>9.5 当乙方与第三方发生纠纷时，第三方申请法院采取财产保全措施或强制执行，导致法院对甲方账号或其他财产进行查封、冻结、划拨、扣押、拍卖、折价、执行等强制措施时，乙方必须在法院下达裁定书或协助执行通知书之日向甲方支付与裁定书或协助执行通知书中确定金额20%的违约金并承担甲方的一切损失。同时如发生以上情况甲方有权单方面解除合同，一切后果由乙方自行承担。</w:t>
      </w:r>
    </w:p>
    <w:p>
      <w:pPr>
        <w:spacing w:line="360" w:lineRule="auto"/>
        <w:ind w:firstLine="480" w:firstLineChars="200"/>
        <w:rPr>
          <w:rFonts w:hint="eastAsia" w:ascii="宋体" w:hAnsi="宋体" w:cs="宋体"/>
          <w:sz w:val="24"/>
        </w:rPr>
      </w:pPr>
      <w:r>
        <w:rPr>
          <w:rFonts w:hint="eastAsia" w:ascii="宋体" w:hAnsi="宋体" w:cs="宋体"/>
          <w:sz w:val="24"/>
        </w:rPr>
        <w:t>9.6 乙方自愿承担由于建设方不能按时向总包方结算的风险，因建设方不及时付款导致甲方不能按时足额支付本合同费用时，乙方自愿免除甲方违约责任。</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bCs/>
          <w:sz w:val="24"/>
        </w:rPr>
        <w:t>免责</w:t>
      </w:r>
      <w:r>
        <w:rPr>
          <w:rFonts w:hint="eastAsia" w:ascii="宋体" w:hAnsi="宋体" w:cs="宋体"/>
          <w:b/>
          <w:sz w:val="24"/>
        </w:rPr>
        <w:t>条款</w:t>
      </w:r>
    </w:p>
    <w:p>
      <w:pPr>
        <w:spacing w:line="360" w:lineRule="auto"/>
        <w:ind w:firstLine="480" w:firstLineChars="200"/>
        <w:rPr>
          <w:rFonts w:hint="eastAsia" w:ascii="宋体" w:hAnsi="宋体" w:cs="宋体"/>
          <w:sz w:val="24"/>
        </w:rPr>
      </w:pPr>
      <w:r>
        <w:rPr>
          <w:rFonts w:hint="eastAsia" w:ascii="宋体" w:hAnsi="宋体" w:cs="宋体"/>
          <w:sz w:val="24"/>
        </w:rPr>
        <w:t>10.1 采取乙方将标的物送至甲方指定地点为交货方式的，在标的物运输、装卸过程及运输车辆在甲方指定地点内发生的任何乙方运输车辆、工作人员、第三方人身财产、安全事故，甲方均不承担任何责任，由乙方承担，若乙方拒不承担，甲方有权从货款或质保金中扣除。</w:t>
      </w:r>
    </w:p>
    <w:p>
      <w:pPr>
        <w:spacing w:line="360" w:lineRule="auto"/>
        <w:ind w:firstLine="480" w:firstLineChars="200"/>
        <w:rPr>
          <w:rFonts w:hint="eastAsia" w:ascii="宋体" w:hAnsi="宋体" w:cs="宋体"/>
          <w:sz w:val="24"/>
        </w:rPr>
      </w:pPr>
      <w:r>
        <w:rPr>
          <w:rFonts w:hint="eastAsia" w:ascii="宋体" w:hAnsi="宋体" w:cs="宋体"/>
          <w:sz w:val="24"/>
        </w:rPr>
        <w:t>10.2 采取甲方到乙方指定地点提取标的物的，乙方应保护甲方运输车辆、工作人员安全。</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合同纠纷解决方式</w:t>
      </w:r>
    </w:p>
    <w:p>
      <w:pPr>
        <w:spacing w:line="360" w:lineRule="auto"/>
        <w:ind w:firstLine="480" w:firstLineChars="200"/>
        <w:rPr>
          <w:rFonts w:hint="eastAsia" w:ascii="宋体" w:hAnsi="宋体" w:cs="宋体"/>
          <w:sz w:val="24"/>
        </w:rPr>
      </w:pPr>
      <w:r>
        <w:rPr>
          <w:rFonts w:hint="eastAsia" w:ascii="宋体" w:hAnsi="宋体" w:cs="宋体"/>
          <w:sz w:val="24"/>
        </w:rPr>
        <w:t>11.1凡因本合同引起的或与本合同有关的任何争议，双方应协商解决。协商不成，向合同签订地人民法院提起诉讼。</w:t>
      </w:r>
    </w:p>
    <w:p>
      <w:pPr>
        <w:spacing w:line="360" w:lineRule="auto"/>
        <w:ind w:firstLine="480" w:firstLineChars="200"/>
        <w:rPr>
          <w:rFonts w:hint="eastAsia" w:ascii="宋体" w:hAnsi="宋体" w:cs="宋体"/>
          <w:sz w:val="24"/>
        </w:rPr>
      </w:pPr>
      <w:r>
        <w:rPr>
          <w:rFonts w:hint="eastAsia" w:ascii="宋体" w:hAnsi="宋体" w:cs="宋体"/>
          <w:sz w:val="24"/>
        </w:rPr>
        <w:t>11.2在争议解决期间，若该争议不影响本协议其他条款的履行，则该其他条款应继续履行。</w:t>
      </w:r>
    </w:p>
    <w:p>
      <w:pPr>
        <w:spacing w:line="360" w:lineRule="auto"/>
        <w:ind w:firstLine="480" w:firstLineChars="200"/>
        <w:rPr>
          <w:rFonts w:hint="eastAsia" w:ascii="宋体" w:hAnsi="宋体" w:cs="宋体"/>
          <w:sz w:val="24"/>
        </w:rPr>
      </w:pPr>
      <w:r>
        <w:rPr>
          <w:rFonts w:hint="eastAsia" w:ascii="宋体" w:hAnsi="宋体" w:cs="宋体"/>
          <w:sz w:val="24"/>
        </w:rPr>
        <w:t>11.3甲方对乙方的任何宽容、延缓行使本协议项下的权利，均不影响其根据本协议及法律、法规而享有的任何权利，亦不视为其对该权利的放弃或对该义务、责任的豁免。</w:t>
      </w:r>
    </w:p>
    <w:p>
      <w:pPr>
        <w:numPr>
          <w:ilvl w:val="0"/>
          <w:numId w:val="7"/>
        </w:numPr>
        <w:spacing w:after="240" w:line="570" w:lineRule="exact"/>
        <w:ind w:firstLine="482" w:firstLineChars="200"/>
        <w:rPr>
          <w:rFonts w:hint="eastAsia" w:ascii="宋体" w:hAnsi="宋体" w:cs="宋体"/>
          <w:b/>
          <w:sz w:val="24"/>
        </w:rPr>
      </w:pPr>
      <w:r>
        <w:rPr>
          <w:rFonts w:hint="eastAsia" w:ascii="宋体" w:hAnsi="宋体" w:cs="宋体"/>
          <w:b/>
          <w:sz w:val="24"/>
        </w:rPr>
        <w:t>其他约定</w:t>
      </w:r>
    </w:p>
    <w:p>
      <w:pPr>
        <w:spacing w:line="360" w:lineRule="auto"/>
        <w:ind w:firstLine="480" w:firstLineChars="200"/>
        <w:rPr>
          <w:rFonts w:hint="eastAsia" w:ascii="宋体" w:hAnsi="宋体" w:cs="宋体"/>
          <w:sz w:val="24"/>
        </w:rPr>
      </w:pPr>
      <w:r>
        <w:rPr>
          <w:rFonts w:hint="eastAsia" w:ascii="宋体" w:hAnsi="宋体" w:cs="宋体"/>
          <w:sz w:val="24"/>
        </w:rPr>
        <w:t>12.1 乙方应在合同签订前向甲方提供营业执照副本、税务登记证、机构代码证、一般纳税人证复印件、授权委托书等证明文件，并加盖公章。</w:t>
      </w:r>
    </w:p>
    <w:p>
      <w:pPr>
        <w:spacing w:line="360" w:lineRule="auto"/>
        <w:ind w:firstLine="480" w:firstLineChars="200"/>
        <w:rPr>
          <w:rFonts w:hint="eastAsia" w:ascii="宋体" w:hAnsi="宋体" w:cs="宋体"/>
          <w:sz w:val="24"/>
        </w:rPr>
      </w:pPr>
      <w:r>
        <w:rPr>
          <w:rFonts w:hint="eastAsia" w:ascii="宋体" w:hAnsi="宋体" w:cs="宋体"/>
          <w:sz w:val="24"/>
        </w:rPr>
        <w:t>12.2 乙方提供的通讯地址为甲方送达函件、法律文书的默认地址，甲方按上述地址寄出的文件视为送达。</w:t>
      </w:r>
    </w:p>
    <w:p>
      <w:pPr>
        <w:spacing w:line="360" w:lineRule="auto"/>
        <w:ind w:firstLine="480" w:firstLineChars="200"/>
        <w:rPr>
          <w:rFonts w:hint="eastAsia" w:ascii="宋体" w:hAnsi="宋体" w:cs="宋体"/>
          <w:sz w:val="24"/>
        </w:rPr>
      </w:pPr>
      <w:r>
        <w:rPr>
          <w:rFonts w:hint="eastAsia" w:ascii="宋体" w:hAnsi="宋体" w:cs="宋体"/>
          <w:sz w:val="24"/>
        </w:rPr>
        <w:t>12.3 乙方进入甲方现场人员及车辆必须服从甲方管理人员的指挥和调度，并遵守甲方安全管理规定及相关制度，否则应按照甲方内部管理制度承担违约责任，造成损失的由乙方独立承担，甲方有权从质保金和（或）货款中扣除。</w:t>
      </w:r>
    </w:p>
    <w:p>
      <w:pPr>
        <w:spacing w:line="360" w:lineRule="auto"/>
        <w:ind w:firstLine="480" w:firstLineChars="200"/>
        <w:rPr>
          <w:rFonts w:hint="eastAsia" w:ascii="宋体" w:hAnsi="宋体" w:cs="宋体"/>
          <w:sz w:val="24"/>
        </w:rPr>
      </w:pPr>
      <w:r>
        <w:rPr>
          <w:rFonts w:hint="eastAsia" w:ascii="宋体" w:hAnsi="宋体" w:cs="宋体"/>
          <w:sz w:val="24"/>
        </w:rPr>
        <w:t>12.4 甲乙双方对合同条款的理解有争议的，应当按照合同所使用的词句、合同的有关条款、合同的目的、交易习惯以及诚实信用原则，确定该条款的真实意思。</w:t>
      </w:r>
    </w:p>
    <w:p>
      <w:pPr>
        <w:spacing w:line="360" w:lineRule="auto"/>
        <w:ind w:firstLine="480" w:firstLineChars="200"/>
        <w:rPr>
          <w:rFonts w:hint="eastAsia" w:ascii="宋体" w:hAnsi="宋体" w:cs="宋体"/>
          <w:sz w:val="24"/>
        </w:rPr>
      </w:pPr>
      <w:r>
        <w:rPr>
          <w:rFonts w:hint="eastAsia" w:ascii="宋体" w:hAnsi="宋体" w:cs="宋体"/>
          <w:sz w:val="24"/>
        </w:rPr>
        <w:t>12.5 如本合同第3.1条中所涉及的国家标准有更新，则以更新的国家标准为准。</w:t>
      </w:r>
    </w:p>
    <w:p>
      <w:pPr>
        <w:spacing w:line="360" w:lineRule="auto"/>
        <w:ind w:firstLine="480" w:firstLineChars="200"/>
        <w:rPr>
          <w:rFonts w:hint="eastAsia" w:ascii="宋体" w:hAnsi="宋体" w:cs="宋体"/>
          <w:sz w:val="24"/>
        </w:rPr>
      </w:pPr>
      <w:r>
        <w:rPr>
          <w:rFonts w:hint="eastAsia" w:ascii="宋体" w:hAnsi="宋体" w:cs="宋体"/>
          <w:sz w:val="24"/>
        </w:rPr>
        <w:t>12.6 本合同自甲乙双方盖章后生效。</w:t>
      </w:r>
    </w:p>
    <w:p>
      <w:pPr>
        <w:spacing w:line="360" w:lineRule="auto"/>
        <w:ind w:firstLine="480" w:firstLineChars="200"/>
        <w:rPr>
          <w:rFonts w:hint="eastAsia" w:ascii="宋体" w:hAnsi="宋体" w:cs="宋体"/>
          <w:sz w:val="24"/>
        </w:rPr>
      </w:pPr>
      <w:r>
        <w:rPr>
          <w:rFonts w:hint="eastAsia" w:ascii="宋体" w:hAnsi="宋体" w:cs="宋体"/>
          <w:sz w:val="24"/>
        </w:rPr>
        <w:t>12.7 本合同一式</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份，甲方执</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份，乙方执</w:t>
      </w:r>
      <w:r>
        <w:rPr>
          <w:rFonts w:hint="eastAsia" w:ascii="宋体" w:hAnsi="宋体" w:cs="宋体"/>
          <w:sz w:val="24"/>
          <w:u w:val="single"/>
        </w:rPr>
        <w:t xml:space="preserve">  </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份，具有同等法律效力。</w:t>
      </w:r>
    </w:p>
    <w:p>
      <w:pPr>
        <w:numPr>
          <w:ilvl w:val="0"/>
          <w:numId w:val="7"/>
        </w:numPr>
        <w:spacing w:after="240" w:line="570" w:lineRule="exact"/>
        <w:ind w:firstLine="482" w:firstLineChars="200"/>
        <w:rPr>
          <w:rFonts w:hint="eastAsia" w:ascii="宋体" w:hAnsi="宋体" w:cs="宋体"/>
          <w:b/>
          <w:bCs/>
          <w:sz w:val="24"/>
        </w:rPr>
      </w:pPr>
      <w:r>
        <w:rPr>
          <w:rFonts w:hint="eastAsia" w:ascii="宋体" w:hAnsi="宋体" w:cs="宋体"/>
          <w:b/>
          <w:bCs/>
          <w:sz w:val="24"/>
        </w:rPr>
        <w:t>附件</w:t>
      </w:r>
    </w:p>
    <w:p>
      <w:pPr>
        <w:spacing w:line="360" w:lineRule="auto"/>
        <w:ind w:firstLine="480" w:firstLineChars="200"/>
        <w:rPr>
          <w:rFonts w:hint="eastAsia" w:ascii="宋体" w:hAnsi="宋体" w:cs="宋体"/>
          <w:sz w:val="24"/>
        </w:rPr>
      </w:pPr>
      <w:r>
        <w:rPr>
          <w:rFonts w:hint="eastAsia" w:ascii="宋体" w:hAnsi="宋体" w:cs="宋体"/>
          <w:sz w:val="24"/>
        </w:rPr>
        <w:t>《环境保护协议书》</w:t>
      </w:r>
    </w:p>
    <w:p>
      <w:pPr>
        <w:spacing w:line="360" w:lineRule="auto"/>
        <w:ind w:firstLine="480" w:firstLineChars="200"/>
        <w:rPr>
          <w:rFonts w:hint="eastAsia" w:ascii="宋体" w:hAnsi="宋体" w:cs="宋体"/>
          <w:sz w:val="24"/>
        </w:rPr>
      </w:pPr>
      <w:r>
        <w:rPr>
          <w:rFonts w:hint="eastAsia" w:ascii="宋体" w:hAnsi="宋体" w:cs="宋体"/>
          <w:sz w:val="24"/>
        </w:rPr>
        <w:t>《廉洁协议书》</w:t>
      </w:r>
    </w:p>
    <w:p>
      <w:pPr>
        <w:spacing w:line="360" w:lineRule="auto"/>
        <w:rPr>
          <w:rFonts w:hint="eastAsia" w:ascii="宋体" w:hAnsi="宋体" w:cs="宋体"/>
          <w:b/>
          <w:sz w:val="24"/>
          <w:u w:val="single"/>
        </w:rPr>
      </w:pPr>
    </w:p>
    <w:tbl>
      <w:tblPr>
        <w:tblStyle w:val="39"/>
        <w:tblW w:w="940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2905"/>
        <w:gridCol w:w="1677"/>
        <w:gridCol w:w="3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42" w:type="dxa"/>
            <w:tcBorders>
              <w:top w:val="nil"/>
              <w:left w:val="nil"/>
              <w:bottom w:val="nil"/>
              <w:right w:val="nil"/>
            </w:tcBorders>
            <w:noWrap w:val="0"/>
            <w:vAlign w:val="center"/>
          </w:tcPr>
          <w:p>
            <w:pPr>
              <w:tabs>
                <w:tab w:val="center" w:pos="655"/>
              </w:tabs>
              <w:ind w:left="-105" w:leftChars="-50" w:right="-105" w:rightChars="-50"/>
              <w:jc w:val="distribute"/>
              <w:rPr>
                <w:rFonts w:ascii="宋体" w:hAnsi="宋体"/>
                <w:sz w:val="24"/>
              </w:rPr>
            </w:pPr>
            <w:r>
              <w:rPr>
                <w:rFonts w:hint="eastAsia" w:ascii="宋体" w:hAnsi="宋体"/>
                <w:b/>
                <w:sz w:val="24"/>
              </w:rPr>
              <w:t>甲方名称(章)：</w:t>
            </w:r>
          </w:p>
        </w:tc>
        <w:tc>
          <w:tcPr>
            <w:tcW w:w="2905" w:type="dxa"/>
            <w:tcBorders>
              <w:top w:val="nil"/>
              <w:left w:val="nil"/>
              <w:right w:val="nil"/>
            </w:tcBorders>
            <w:noWrap w:val="0"/>
            <w:vAlign w:val="bottom"/>
          </w:tcPr>
          <w:p>
            <w:pPr>
              <w:jc w:val="center"/>
              <w:rPr>
                <w:rFonts w:hint="eastAsia" w:ascii="宋体" w:hAnsi="宋体"/>
                <w:sz w:val="24"/>
              </w:rPr>
            </w:pPr>
          </w:p>
        </w:tc>
        <w:tc>
          <w:tcPr>
            <w:tcW w:w="1677" w:type="dxa"/>
            <w:tcBorders>
              <w:top w:val="nil"/>
              <w:left w:val="nil"/>
              <w:bottom w:val="nil"/>
              <w:right w:val="nil"/>
            </w:tcBorders>
            <w:noWrap w:val="0"/>
            <w:vAlign w:val="center"/>
          </w:tcPr>
          <w:p>
            <w:pPr>
              <w:ind w:left="-105" w:leftChars="-50" w:right="-105" w:rightChars="-50"/>
              <w:jc w:val="distribute"/>
              <w:rPr>
                <w:rFonts w:ascii="宋体" w:hAnsi="宋体"/>
                <w:sz w:val="24"/>
              </w:rPr>
            </w:pPr>
            <w:r>
              <w:rPr>
                <w:rFonts w:hint="eastAsia" w:ascii="宋体" w:hAnsi="宋体"/>
                <w:b/>
                <w:sz w:val="24"/>
              </w:rPr>
              <w:t>乙方名称(章)：</w:t>
            </w:r>
          </w:p>
        </w:tc>
        <w:tc>
          <w:tcPr>
            <w:tcW w:w="3177" w:type="dxa"/>
            <w:tcBorders>
              <w:top w:val="nil"/>
              <w:left w:val="nil"/>
              <w:right w:val="nil"/>
            </w:tcBorders>
            <w:noWrap w:val="0"/>
            <w:vAlign w:val="bottom"/>
          </w:tcPr>
          <w:p>
            <w:pPr>
              <w:rPr>
                <w:rFonts w:ascii="宋体" w:hAnsi="宋体"/>
                <w:sz w:val="24"/>
              </w:rPr>
            </w:pPr>
            <w:r>
              <w:rPr>
                <w:rFonts w:hint="eastAsia" w:ascii="宋体" w:hAnsi="宋体"/>
                <w:sz w:val="24"/>
                <w:lang w:val="en-US" w:eastAsia="zh-CN"/>
              </w:rPr>
              <w:t xml:space="preserve"> </w:t>
            </w:r>
            <w:r>
              <w:rPr>
                <w:rFonts w:hint="eastAsia" w:ascii="宋体" w:hAnsi="宋体"/>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trPr>
        <w:tc>
          <w:tcPr>
            <w:tcW w:w="1642" w:type="dxa"/>
            <w:tcBorders>
              <w:top w:val="nil"/>
              <w:left w:val="nil"/>
              <w:bottom w:val="nil"/>
              <w:right w:val="nil"/>
            </w:tcBorders>
            <w:noWrap w:val="0"/>
            <w:vAlign w:val="top"/>
          </w:tcPr>
          <w:p>
            <w:pPr>
              <w:ind w:left="-105" w:leftChars="-50" w:right="-105" w:rightChars="-50"/>
              <w:jc w:val="distribute"/>
              <w:rPr>
                <w:rFonts w:ascii="宋体" w:hAnsi="宋体"/>
                <w:sz w:val="24"/>
              </w:rPr>
            </w:pPr>
            <w:r>
              <w:rPr>
                <w:rFonts w:hint="eastAsia" w:ascii="宋体" w:hAnsi="宋体"/>
                <w:b/>
                <w:sz w:val="24"/>
              </w:rPr>
              <w:t>法定代表人：</w:t>
            </w:r>
          </w:p>
          <w:p>
            <w:pPr>
              <w:tabs>
                <w:tab w:val="center" w:pos="655"/>
              </w:tabs>
              <w:ind w:left="-105" w:leftChars="-50" w:right="-105" w:rightChars="-50"/>
              <w:jc w:val="distribute"/>
              <w:rPr>
                <w:rFonts w:hint="eastAsia" w:ascii="宋体" w:hAnsi="宋体"/>
                <w:b/>
                <w:sz w:val="24"/>
              </w:rPr>
            </w:pPr>
            <w:r>
              <w:rPr>
                <w:rFonts w:hint="eastAsia" w:ascii="宋体" w:hAnsi="宋体"/>
                <w:b/>
                <w:w w:val="66"/>
                <w:sz w:val="24"/>
              </w:rPr>
              <w:t>(或被授权委托人)</w:t>
            </w:r>
          </w:p>
        </w:tc>
        <w:tc>
          <w:tcPr>
            <w:tcW w:w="2905" w:type="dxa"/>
            <w:tcBorders>
              <w:top w:val="nil"/>
              <w:left w:val="nil"/>
              <w:right w:val="nil"/>
            </w:tcBorders>
            <w:noWrap w:val="0"/>
            <w:vAlign w:val="bottom"/>
          </w:tcPr>
          <w:p>
            <w:pPr>
              <w:rPr>
                <w:rFonts w:hint="eastAsia" w:ascii="宋体" w:hAnsi="宋体"/>
                <w:sz w:val="24"/>
              </w:rPr>
            </w:pPr>
          </w:p>
        </w:tc>
        <w:tc>
          <w:tcPr>
            <w:tcW w:w="1677" w:type="dxa"/>
            <w:tcBorders>
              <w:top w:val="nil"/>
              <w:left w:val="nil"/>
              <w:bottom w:val="nil"/>
              <w:right w:val="nil"/>
            </w:tcBorders>
            <w:noWrap w:val="0"/>
            <w:vAlign w:val="top"/>
          </w:tcPr>
          <w:p>
            <w:pPr>
              <w:ind w:left="-105" w:leftChars="-50" w:right="-105" w:rightChars="-50"/>
              <w:jc w:val="distribute"/>
              <w:rPr>
                <w:rFonts w:ascii="宋体" w:hAnsi="宋体"/>
                <w:sz w:val="24"/>
              </w:rPr>
            </w:pPr>
            <w:r>
              <w:rPr>
                <w:rFonts w:hint="eastAsia" w:ascii="宋体" w:hAnsi="宋体"/>
                <w:b/>
                <w:sz w:val="24"/>
              </w:rPr>
              <w:t>法定代表人：</w:t>
            </w:r>
          </w:p>
          <w:p>
            <w:pPr>
              <w:ind w:left="-105" w:leftChars="-50" w:right="-105" w:rightChars="-50"/>
              <w:jc w:val="distribute"/>
              <w:rPr>
                <w:rFonts w:hint="eastAsia" w:ascii="宋体" w:hAnsi="宋体"/>
                <w:b/>
                <w:sz w:val="24"/>
              </w:rPr>
            </w:pPr>
            <w:r>
              <w:rPr>
                <w:rFonts w:hint="eastAsia" w:ascii="宋体" w:hAnsi="宋体"/>
                <w:b/>
                <w:w w:val="66"/>
                <w:sz w:val="24"/>
              </w:rPr>
              <w:t>(或被授权委托人)</w:t>
            </w:r>
          </w:p>
        </w:tc>
        <w:tc>
          <w:tcPr>
            <w:tcW w:w="3177" w:type="dxa"/>
            <w:tcBorders>
              <w:top w:val="nil"/>
              <w:left w:val="nil"/>
              <w:right w:val="nil"/>
            </w:tcBorders>
            <w:noWrap w:val="0"/>
            <w:vAlign w:val="bottom"/>
          </w:tcPr>
          <w:p>
            <w:pP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7" w:hRule="atLeast"/>
        </w:trPr>
        <w:tc>
          <w:tcPr>
            <w:tcW w:w="1642" w:type="dxa"/>
            <w:tcBorders>
              <w:top w:val="nil"/>
              <w:left w:val="nil"/>
              <w:bottom w:val="nil"/>
              <w:right w:val="nil"/>
            </w:tcBorders>
            <w:noWrap w:val="0"/>
            <w:vAlign w:val="bottom"/>
          </w:tcPr>
          <w:p>
            <w:pPr>
              <w:ind w:left="-105" w:leftChars="-50" w:right="-105" w:rightChars="-50"/>
              <w:jc w:val="distribute"/>
              <w:rPr>
                <w:rFonts w:ascii="宋体" w:hAnsi="宋体"/>
                <w:sz w:val="24"/>
                <w:lang w:eastAsia="en-US"/>
              </w:rPr>
            </w:pPr>
            <w:r>
              <w:rPr>
                <w:rFonts w:hint="eastAsia" w:ascii="宋体" w:hAnsi="宋体"/>
                <w:b/>
                <w:sz w:val="24"/>
                <w:lang w:eastAsia="en-US"/>
              </w:rPr>
              <w:t>联系电话：</w:t>
            </w:r>
          </w:p>
        </w:tc>
        <w:tc>
          <w:tcPr>
            <w:tcW w:w="2905" w:type="dxa"/>
            <w:tcBorders>
              <w:left w:val="nil"/>
              <w:right w:val="nil"/>
            </w:tcBorders>
            <w:noWrap w:val="0"/>
            <w:vAlign w:val="bottom"/>
          </w:tcPr>
          <w:p>
            <w:pPr>
              <w:rPr>
                <w:rFonts w:ascii="宋体" w:hAnsi="宋体"/>
                <w:sz w:val="24"/>
                <w:lang w:eastAsia="en-US"/>
              </w:rPr>
            </w:pPr>
          </w:p>
        </w:tc>
        <w:tc>
          <w:tcPr>
            <w:tcW w:w="1677" w:type="dxa"/>
            <w:tcBorders>
              <w:top w:val="nil"/>
              <w:left w:val="nil"/>
              <w:bottom w:val="nil"/>
              <w:right w:val="nil"/>
            </w:tcBorders>
            <w:noWrap w:val="0"/>
            <w:vAlign w:val="bottom"/>
          </w:tcPr>
          <w:p>
            <w:pPr>
              <w:ind w:left="-105" w:leftChars="-50" w:right="-105" w:rightChars="-50"/>
              <w:jc w:val="distribute"/>
              <w:rPr>
                <w:rFonts w:ascii="宋体" w:hAnsi="宋体"/>
                <w:sz w:val="24"/>
                <w:lang w:eastAsia="en-US"/>
              </w:rPr>
            </w:pPr>
            <w:r>
              <w:rPr>
                <w:rFonts w:hint="eastAsia" w:ascii="宋体" w:hAnsi="宋体"/>
                <w:b/>
                <w:sz w:val="24"/>
                <w:lang w:eastAsia="en-US"/>
              </w:rPr>
              <w:t>联系电话：</w:t>
            </w:r>
          </w:p>
        </w:tc>
        <w:tc>
          <w:tcPr>
            <w:tcW w:w="3177" w:type="dxa"/>
            <w:tcBorders>
              <w:left w:val="nil"/>
              <w:right w:val="nil"/>
            </w:tcBorders>
            <w:noWrap w:val="0"/>
            <w:vAlign w:val="bottom"/>
          </w:tcPr>
          <w:p>
            <w:pPr>
              <w:rPr>
                <w:rFonts w:ascii="宋体" w:hAnsi="宋体"/>
                <w:sz w:val="24"/>
                <w:lang w:eastAsia="en-US"/>
              </w:rPr>
            </w:pPr>
          </w:p>
        </w:tc>
      </w:tr>
    </w:tbl>
    <w:p>
      <w:pPr>
        <w:spacing w:after="156" w:afterLines="50" w:line="570" w:lineRule="exact"/>
        <w:jc w:val="center"/>
        <w:rPr>
          <w:rFonts w:hint="eastAsia" w:ascii="宋体" w:hAnsi="宋体" w:cs="宋体"/>
          <w:b/>
          <w:sz w:val="30"/>
          <w:szCs w:val="30"/>
        </w:rPr>
      </w:pPr>
      <w:r>
        <w:rPr>
          <w:rFonts w:hint="eastAsia" w:ascii="宋体" w:hAnsi="宋体" w:cs="宋体"/>
          <w:b/>
          <w:sz w:val="24"/>
          <w:u w:val="single"/>
        </w:rPr>
        <w:br w:type="page"/>
      </w:r>
      <w:r>
        <w:rPr>
          <w:rFonts w:hint="eastAsia" w:ascii="宋体" w:hAnsi="宋体" w:cs="宋体"/>
          <w:b/>
          <w:sz w:val="30"/>
          <w:szCs w:val="30"/>
        </w:rPr>
        <w:t>环境保护协议书</w:t>
      </w:r>
    </w:p>
    <w:p>
      <w:pPr>
        <w:tabs>
          <w:tab w:val="left" w:pos="5460"/>
        </w:tabs>
        <w:spacing w:line="570" w:lineRule="exact"/>
        <w:ind w:left="630" w:leftChars="300"/>
        <w:rPr>
          <w:rFonts w:hint="eastAsia" w:ascii="宋体" w:hAnsi="宋体" w:cs="宋体"/>
          <w:b/>
          <w:sz w:val="24"/>
          <w:u w:val="single"/>
        </w:rPr>
      </w:pPr>
      <w:r>
        <w:rPr>
          <w:rFonts w:hint="eastAsia" w:ascii="宋体" w:hAnsi="宋体" w:cs="宋体"/>
          <w:b/>
          <w:sz w:val="24"/>
        </w:rPr>
        <w:t>甲方（采购方）：</w:t>
      </w:r>
      <w:r>
        <w:rPr>
          <w:rFonts w:hint="eastAsia" w:ascii="宋体" w:hAnsi="宋体" w:cs="宋体"/>
          <w:b/>
          <w:sz w:val="24"/>
          <w:u w:val="single"/>
          <w:lang w:val="en-US" w:eastAsia="zh-CN"/>
        </w:rPr>
        <w:t xml:space="preserve"> </w:t>
      </w:r>
      <w:r>
        <w:rPr>
          <w:rFonts w:hint="eastAsia" w:ascii="宋体" w:hAnsi="宋体" w:cs="宋体"/>
          <w:b/>
          <w:sz w:val="24"/>
          <w:u w:val="single"/>
        </w:rPr>
        <w:tab/>
      </w:r>
    </w:p>
    <w:p>
      <w:pPr>
        <w:tabs>
          <w:tab w:val="left" w:pos="5460"/>
        </w:tabs>
        <w:spacing w:after="312" w:afterLines="100" w:line="570" w:lineRule="exact"/>
        <w:ind w:left="630" w:leftChars="300"/>
        <w:rPr>
          <w:rFonts w:hint="eastAsia" w:ascii="宋体" w:hAnsi="宋体" w:eastAsia="宋体" w:cs="宋体"/>
          <w:b/>
          <w:sz w:val="24"/>
          <w:u w:val="single"/>
          <w:lang w:eastAsia="zh-CN"/>
        </w:rPr>
      </w:pPr>
      <w:r>
        <w:rPr>
          <w:rFonts w:hint="eastAsia" w:ascii="宋体" w:hAnsi="宋体" w:cs="宋体"/>
          <w:b/>
          <w:sz w:val="24"/>
        </w:rPr>
        <w:t>乙方（供货方）：</w:t>
      </w:r>
      <w:r>
        <w:rPr>
          <w:rFonts w:hint="eastAsia" w:ascii="宋体" w:hAnsi="宋体" w:cs="宋体"/>
          <w:b/>
          <w:sz w:val="24"/>
          <w:lang w:val="en-US" w:eastAsia="zh-CN"/>
        </w:rPr>
        <w:t xml:space="preserve"> </w:t>
      </w:r>
    </w:p>
    <w:p>
      <w:pPr>
        <w:spacing w:line="360" w:lineRule="auto"/>
        <w:ind w:firstLine="600" w:firstLineChars="250"/>
        <w:rPr>
          <w:rFonts w:hint="eastAsia" w:ascii="宋体" w:hAnsi="宋体" w:cs="宋体"/>
          <w:sz w:val="24"/>
        </w:rPr>
      </w:pPr>
      <w:r>
        <w:rPr>
          <w:rFonts w:hint="eastAsia" w:ascii="宋体" w:hAnsi="宋体" w:cs="宋体"/>
          <w:sz w:val="24"/>
        </w:rPr>
        <w:t>为保证</w:t>
      </w:r>
      <w:r>
        <w:rPr>
          <w:rFonts w:hint="eastAsia" w:ascii="宋体" w:hAnsi="宋体" w:cs="宋体"/>
          <w:sz w:val="24"/>
          <w:u w:val="single"/>
          <w:lang w:val="en-US" w:eastAsia="zh-CN"/>
        </w:rPr>
        <w:t xml:space="preserve">     </w:t>
      </w:r>
      <w:r>
        <w:rPr>
          <w:rFonts w:hint="eastAsia" w:ascii="宋体" w:hAnsi="宋体" w:cs="宋体"/>
          <w:sz w:val="24"/>
          <w:u w:val="single"/>
        </w:rPr>
        <w:t xml:space="preserve">  </w:t>
      </w:r>
      <w:r>
        <w:rPr>
          <w:rFonts w:hint="eastAsia" w:ascii="宋体" w:hAnsi="宋体" w:cs="宋体"/>
          <w:sz w:val="24"/>
        </w:rPr>
        <w:t xml:space="preserve"> 工程环境保护工作，认真贯彻执行《中华人民共和国水污染防治法》、《中华人民共和国固体废物污染环境防治法》、《中华人民共和国大气污染防治法》、《中华人民共和国环境噪声污染防治法》等有关法律、法规、办法、服从行业管理，接受有关单位监督检查，经甲乙双方同意特签订环境保护协议如下：</w:t>
      </w:r>
    </w:p>
    <w:p>
      <w:pPr>
        <w:spacing w:line="360" w:lineRule="auto"/>
        <w:ind w:firstLine="480" w:firstLineChars="200"/>
        <w:rPr>
          <w:rFonts w:hint="eastAsia" w:ascii="宋体" w:hAnsi="宋体" w:cs="宋体"/>
          <w:sz w:val="24"/>
        </w:rPr>
      </w:pPr>
      <w:r>
        <w:rPr>
          <w:rFonts w:hint="eastAsia" w:ascii="宋体" w:hAnsi="宋体" w:cs="宋体"/>
          <w:sz w:val="24"/>
        </w:rPr>
        <w:t>1. 乙方必须遵守安全和环境管理的法律法规。</w:t>
      </w:r>
    </w:p>
    <w:p>
      <w:pPr>
        <w:spacing w:line="360" w:lineRule="auto"/>
        <w:ind w:firstLine="480" w:firstLineChars="200"/>
        <w:rPr>
          <w:rFonts w:hint="eastAsia" w:ascii="宋体" w:hAnsi="宋体" w:cs="宋体"/>
          <w:sz w:val="24"/>
        </w:rPr>
      </w:pPr>
      <w:r>
        <w:rPr>
          <w:rFonts w:hint="eastAsia" w:ascii="宋体" w:hAnsi="宋体" w:cs="宋体"/>
          <w:sz w:val="24"/>
        </w:rPr>
        <w:t>2. 乙方所供货物，在保证产品质量同时，还应确保材质符合安全和环境保护要求。</w:t>
      </w:r>
    </w:p>
    <w:p>
      <w:pPr>
        <w:spacing w:line="360" w:lineRule="auto"/>
        <w:ind w:firstLine="480" w:firstLineChars="200"/>
        <w:rPr>
          <w:rFonts w:hint="eastAsia" w:ascii="宋体" w:hAnsi="宋体" w:cs="宋体"/>
          <w:sz w:val="24"/>
        </w:rPr>
      </w:pPr>
      <w:r>
        <w:rPr>
          <w:rFonts w:hint="eastAsia" w:ascii="宋体" w:hAnsi="宋体" w:cs="宋体"/>
          <w:sz w:val="24"/>
        </w:rPr>
        <w:t>3. 乙方供货时（对安全和环境有重大影响的货物），材料的包装必须满足安全和环保要求，并在外包装上做标识，以便于库房验证和保管。</w:t>
      </w:r>
    </w:p>
    <w:p>
      <w:pPr>
        <w:spacing w:line="360" w:lineRule="auto"/>
        <w:ind w:firstLine="480" w:firstLineChars="200"/>
        <w:rPr>
          <w:rFonts w:hint="eastAsia" w:ascii="宋体" w:hAnsi="宋体" w:cs="宋体"/>
          <w:sz w:val="24"/>
        </w:rPr>
      </w:pPr>
      <w:r>
        <w:rPr>
          <w:rFonts w:hint="eastAsia" w:ascii="宋体" w:hAnsi="宋体" w:cs="宋体"/>
          <w:sz w:val="24"/>
        </w:rPr>
        <w:t>4. 对有毒有害物品、易燃易爆易泄漏物品及化学品，乙方需标明警告及警示标记，并在货物出厂前，对包装进行严格检查，以确保不发生破、损、滴、漏、跑、冒现象。否则，甲方仓库管理人员有权拒收或要求退换。</w:t>
      </w:r>
    </w:p>
    <w:p>
      <w:pPr>
        <w:spacing w:line="360" w:lineRule="auto"/>
        <w:ind w:firstLine="480" w:firstLineChars="200"/>
        <w:rPr>
          <w:rFonts w:hint="eastAsia" w:ascii="宋体" w:hAnsi="宋体" w:cs="宋体"/>
          <w:sz w:val="24"/>
        </w:rPr>
      </w:pPr>
      <w:r>
        <w:rPr>
          <w:rFonts w:hint="eastAsia" w:ascii="宋体" w:hAnsi="宋体" w:cs="宋体"/>
          <w:sz w:val="24"/>
        </w:rPr>
        <w:t>5. 对包装材料，乙方应考虑在满足甲方要求前提下，尽可能使用可循环材料，以降低成本节省资源。乙方在下次送货时可将包装物回收，循环使用。</w:t>
      </w:r>
    </w:p>
    <w:p>
      <w:pPr>
        <w:spacing w:line="360" w:lineRule="auto"/>
        <w:ind w:firstLine="480" w:firstLineChars="200"/>
        <w:rPr>
          <w:rFonts w:hint="eastAsia" w:ascii="宋体" w:hAnsi="宋体" w:cs="宋体"/>
          <w:sz w:val="24"/>
        </w:rPr>
      </w:pPr>
      <w:r>
        <w:rPr>
          <w:rFonts w:hint="eastAsia" w:ascii="宋体" w:hAnsi="宋体" w:cs="宋体"/>
          <w:sz w:val="24"/>
        </w:rPr>
        <w:t>6. 在货物运输过程中，粉尘、噪声及尾气排放必须满足国家及地方的有关规定。如有违规发生，责任由乙方负责，并按国家有关规定进行处理。</w:t>
      </w:r>
    </w:p>
    <w:p>
      <w:pPr>
        <w:spacing w:line="360" w:lineRule="auto"/>
        <w:ind w:firstLine="480" w:firstLineChars="200"/>
        <w:rPr>
          <w:rFonts w:hint="eastAsia" w:ascii="宋体" w:hAnsi="宋体" w:cs="宋体"/>
          <w:sz w:val="24"/>
        </w:rPr>
      </w:pPr>
      <w:r>
        <w:rPr>
          <w:rFonts w:hint="eastAsia" w:ascii="宋体" w:hAnsi="宋体" w:cs="宋体"/>
          <w:sz w:val="24"/>
        </w:rPr>
        <w:t>7. 运输车辆进出工地大门，必须经过清洗，确保车路整洁、轮胎无泥。</w:t>
      </w:r>
    </w:p>
    <w:p>
      <w:pPr>
        <w:spacing w:line="360" w:lineRule="auto"/>
        <w:ind w:firstLine="480" w:firstLineChars="200"/>
        <w:rPr>
          <w:rFonts w:hint="eastAsia" w:ascii="宋体" w:hAnsi="宋体" w:cs="宋体"/>
          <w:sz w:val="24"/>
        </w:rPr>
      </w:pPr>
      <w:r>
        <w:rPr>
          <w:rFonts w:hint="eastAsia" w:ascii="宋体" w:hAnsi="宋体" w:cs="宋体"/>
          <w:sz w:val="24"/>
        </w:rPr>
        <w:t>8. 当乙方违反上述条款三次以下、一次以上时（含一次），甲方将向乙方提出警告;三次以上时（含三次），甲方将不再与乙方签订合同并将终止执行已签订的合同，责任由乙方负责。</w:t>
      </w:r>
    </w:p>
    <w:p>
      <w:pPr>
        <w:spacing w:line="360" w:lineRule="auto"/>
        <w:ind w:firstLine="600" w:firstLineChars="250"/>
        <w:rPr>
          <w:rFonts w:hint="eastAsia" w:ascii="宋体" w:hAnsi="宋体" w:cs="宋体"/>
          <w:sz w:val="24"/>
        </w:rPr>
      </w:pPr>
      <w:r>
        <w:rPr>
          <w:rFonts w:hint="eastAsia" w:ascii="宋体" w:hAnsi="宋体" w:cs="宋体"/>
          <w:sz w:val="24"/>
        </w:rPr>
        <w:t xml:space="preserve">本协议经双方盖章后生效。 </w:t>
      </w:r>
    </w:p>
    <w:p>
      <w:pPr>
        <w:spacing w:line="600" w:lineRule="auto"/>
        <w:ind w:left="525" w:leftChars="224" w:hanging="55" w:hangingChars="23"/>
        <w:jc w:val="left"/>
        <w:rPr>
          <w:rFonts w:hint="eastAsia" w:ascii="宋体" w:hAnsi="宋体" w:cs="宋体"/>
          <w:kern w:val="13"/>
          <w:sz w:val="24"/>
        </w:rPr>
      </w:pPr>
      <w:r>
        <w:rPr>
          <w:rFonts w:hint="eastAsia" w:ascii="宋体" w:hAnsi="宋体" w:cs="宋体"/>
          <w:kern w:val="13"/>
          <w:sz w:val="24"/>
        </w:rPr>
        <w:t>甲方代表（签字）：                  乙方代表（签字）：</w:t>
      </w:r>
    </w:p>
    <w:p>
      <w:pPr>
        <w:spacing w:line="600" w:lineRule="auto"/>
        <w:ind w:left="525" w:leftChars="224" w:hanging="55" w:hangingChars="23"/>
        <w:jc w:val="left"/>
        <w:rPr>
          <w:rFonts w:hint="eastAsia" w:ascii="宋体" w:hAnsi="宋体" w:cs="宋体"/>
          <w:kern w:val="13"/>
          <w:sz w:val="24"/>
        </w:rPr>
      </w:pPr>
      <w:r>
        <w:rPr>
          <w:rFonts w:hint="eastAsia" w:ascii="宋体" w:hAnsi="宋体" w:cs="宋体"/>
          <w:kern w:val="13"/>
          <w:sz w:val="24"/>
        </w:rPr>
        <w:t xml:space="preserve">    单位（盖章）：                      单位（盖章）：</w:t>
      </w:r>
    </w:p>
    <w:p>
      <w:pPr>
        <w:spacing w:line="600" w:lineRule="auto"/>
        <w:ind w:firstLine="600" w:firstLineChars="250"/>
        <w:jc w:val="left"/>
        <w:rPr>
          <w:rFonts w:hint="eastAsia" w:ascii="宋体" w:hAnsi="宋体" w:cs="宋体"/>
          <w:b/>
          <w:sz w:val="24"/>
          <w:u w:val="single"/>
        </w:rPr>
      </w:pPr>
      <w:r>
        <w:rPr>
          <w:rFonts w:hint="eastAsia" w:ascii="宋体" w:hAnsi="宋体" w:cs="宋体"/>
          <w:kern w:val="13"/>
          <w:sz w:val="24"/>
          <w:u w:val="single"/>
        </w:rPr>
        <w:t xml:space="preserve">       </w:t>
      </w:r>
      <w:r>
        <w:rPr>
          <w:rFonts w:hint="eastAsia" w:ascii="宋体" w:hAnsi="宋体" w:cs="宋体"/>
          <w:kern w:val="13"/>
          <w:sz w:val="24"/>
        </w:rPr>
        <w:t>年</w:t>
      </w:r>
      <w:r>
        <w:rPr>
          <w:rFonts w:hint="eastAsia" w:ascii="宋体" w:hAnsi="宋体" w:cs="宋体"/>
          <w:kern w:val="13"/>
          <w:sz w:val="24"/>
          <w:u w:val="single"/>
        </w:rPr>
        <w:t xml:space="preserve">   </w:t>
      </w:r>
      <w:r>
        <w:rPr>
          <w:rFonts w:hint="eastAsia" w:ascii="宋体" w:hAnsi="宋体" w:cs="宋体"/>
          <w:kern w:val="13"/>
          <w:sz w:val="24"/>
        </w:rPr>
        <w:t>月</w:t>
      </w:r>
      <w:r>
        <w:rPr>
          <w:rFonts w:hint="eastAsia" w:ascii="宋体" w:hAnsi="宋体" w:cs="宋体"/>
          <w:kern w:val="13"/>
          <w:sz w:val="24"/>
          <w:u w:val="single"/>
        </w:rPr>
        <w:t xml:space="preserve">   </w:t>
      </w:r>
      <w:r>
        <w:rPr>
          <w:rFonts w:hint="eastAsia" w:ascii="宋体" w:hAnsi="宋体" w:cs="宋体"/>
          <w:kern w:val="13"/>
          <w:sz w:val="24"/>
        </w:rPr>
        <w:t xml:space="preserve">日                    </w:t>
      </w:r>
      <w:r>
        <w:rPr>
          <w:rFonts w:hint="eastAsia" w:ascii="宋体" w:hAnsi="宋体" w:cs="宋体"/>
          <w:kern w:val="13"/>
          <w:sz w:val="24"/>
          <w:u w:val="single"/>
        </w:rPr>
        <w:t xml:space="preserve">       </w:t>
      </w:r>
      <w:r>
        <w:rPr>
          <w:rFonts w:hint="eastAsia" w:ascii="宋体" w:hAnsi="宋体" w:cs="宋体"/>
          <w:kern w:val="13"/>
          <w:sz w:val="24"/>
        </w:rPr>
        <w:t>年</w:t>
      </w:r>
      <w:r>
        <w:rPr>
          <w:rFonts w:hint="eastAsia" w:ascii="宋体" w:hAnsi="宋体" w:cs="宋体"/>
          <w:kern w:val="13"/>
          <w:sz w:val="24"/>
          <w:u w:val="single"/>
        </w:rPr>
        <w:t xml:space="preserve">   </w:t>
      </w:r>
      <w:r>
        <w:rPr>
          <w:rFonts w:hint="eastAsia" w:ascii="宋体" w:hAnsi="宋体" w:cs="宋体"/>
          <w:kern w:val="13"/>
          <w:sz w:val="24"/>
        </w:rPr>
        <w:t>月</w:t>
      </w:r>
      <w:r>
        <w:rPr>
          <w:rFonts w:hint="eastAsia" w:ascii="宋体" w:hAnsi="宋体" w:cs="宋体"/>
          <w:kern w:val="13"/>
          <w:sz w:val="24"/>
          <w:u w:val="single"/>
        </w:rPr>
        <w:t xml:space="preserve">   </w:t>
      </w:r>
      <w:r>
        <w:rPr>
          <w:rFonts w:hint="eastAsia" w:ascii="宋体" w:hAnsi="宋体" w:cs="宋体"/>
          <w:kern w:val="13"/>
          <w:sz w:val="24"/>
        </w:rPr>
        <w:t>日</w:t>
      </w:r>
    </w:p>
    <w:p>
      <w:pPr>
        <w:spacing w:line="360" w:lineRule="auto"/>
        <w:jc w:val="center"/>
        <w:rPr>
          <w:rFonts w:hint="eastAsia" w:ascii="宋体" w:hAnsi="宋体" w:cs="宋体"/>
          <w:b/>
          <w:sz w:val="30"/>
          <w:szCs w:val="30"/>
        </w:rPr>
      </w:pPr>
      <w:r>
        <w:rPr>
          <w:rFonts w:hint="eastAsia" w:ascii="宋体" w:hAnsi="宋体" w:cs="宋体"/>
          <w:b/>
          <w:sz w:val="30"/>
          <w:szCs w:val="30"/>
        </w:rPr>
        <w:t>廉洁协议书</w:t>
      </w:r>
    </w:p>
    <w:p>
      <w:pPr>
        <w:tabs>
          <w:tab w:val="left" w:pos="5460"/>
        </w:tabs>
        <w:spacing w:line="570" w:lineRule="exact"/>
        <w:ind w:left="630" w:leftChars="300"/>
        <w:rPr>
          <w:rFonts w:hint="eastAsia" w:ascii="宋体" w:hAnsi="宋体" w:cs="宋体"/>
          <w:b/>
          <w:sz w:val="24"/>
          <w:u w:val="single"/>
        </w:rPr>
      </w:pPr>
      <w:r>
        <w:rPr>
          <w:rFonts w:hint="eastAsia" w:ascii="宋体" w:hAnsi="宋体" w:cs="宋体"/>
          <w:b/>
          <w:sz w:val="24"/>
        </w:rPr>
        <w:t>甲方（采购方）：</w:t>
      </w:r>
      <w:r>
        <w:rPr>
          <w:rFonts w:hint="eastAsia" w:ascii="宋体" w:hAnsi="宋体" w:cs="宋体"/>
          <w:b/>
          <w:sz w:val="24"/>
          <w:u w:val="single"/>
          <w:lang w:val="en-US" w:eastAsia="zh-CN"/>
        </w:rPr>
        <w:t xml:space="preserve"> </w:t>
      </w:r>
      <w:r>
        <w:rPr>
          <w:rFonts w:hint="eastAsia" w:ascii="宋体" w:hAnsi="宋体" w:cs="宋体"/>
          <w:b/>
          <w:sz w:val="24"/>
          <w:u w:val="single"/>
        </w:rPr>
        <w:tab/>
      </w:r>
    </w:p>
    <w:p>
      <w:pPr>
        <w:tabs>
          <w:tab w:val="left" w:pos="5460"/>
        </w:tabs>
        <w:spacing w:after="312" w:afterLines="100" w:line="570" w:lineRule="exact"/>
        <w:ind w:left="630" w:leftChars="300"/>
        <w:rPr>
          <w:rFonts w:hint="eastAsia" w:ascii="宋体" w:hAnsi="宋体" w:cs="宋体"/>
          <w:b/>
          <w:sz w:val="24"/>
          <w:u w:val="single"/>
        </w:rPr>
      </w:pPr>
      <w:r>
        <w:rPr>
          <w:rFonts w:hint="eastAsia" w:ascii="宋体" w:hAnsi="宋体" w:cs="宋体"/>
          <w:b/>
          <w:sz w:val="24"/>
        </w:rPr>
        <w:t>乙方（供货方）：</w:t>
      </w:r>
      <w:r>
        <w:rPr>
          <w:rFonts w:hint="eastAsia" w:ascii="宋体" w:hAnsi="宋体" w:cs="宋体"/>
          <w:b/>
          <w:sz w:val="24"/>
          <w:lang w:val="en-US" w:eastAsia="zh-CN"/>
        </w:rPr>
        <w:t xml:space="preserve"> </w:t>
      </w:r>
      <w:r>
        <w:rPr>
          <w:rFonts w:hint="eastAsia" w:ascii="宋体" w:hAnsi="宋体" w:cs="宋体"/>
          <w:b/>
          <w:sz w:val="24"/>
          <w:u w:val="single"/>
        </w:rPr>
        <w:tab/>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为了双方在合作中保持廉洁自律的工作作风，依法规范合同签订和执行中的廉洁从业规定，防止违规违纪违法行为的发生，甲、乙双方签订本协议书。</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一、甲方责任</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1.不利用工作之便接受乙方赠送的礼品、礼金、各种有价证券及其他支付凭证等。</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2.不利用工作之便接受乙方提供的通讯工具、交通工具和高档办公用品等。</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3.不利用工作之便为亲友谋取私利。</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4.不在乙方报销任何应由甲方或个人支付的费用等。</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5.不参加由乙方提供的高档宴请、娱乐、旅游等消费活动。</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二、乙方责任</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1.不以任何名义向甲方人员赠送钱物。</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2.不以任何名义为甲方及其工作人员报销应由甲方单位或个人支付的任何费用。</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3.不弄虚作假、偷工减料，不提供假冒伪劣或不符合国家标准的劣质产品。</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4.不损害甲方利益。</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三、甲、乙双方共同责任</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1.不在非公务场合洽谈业务；</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2.不一对一洽谈业务。</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3.不以任何名义互相宴请。</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4.分别对双方所属人员进行法制教育和廉洁从业教育。</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5.互相监督，发现重大违规违纪违法现象时，可向双方监察部门举报（甲方举报电话：</w:t>
      </w:r>
      <w:r>
        <w:rPr>
          <w:rFonts w:ascii="宋体" w:hAnsi="宋体" w:cs="宋体"/>
          <w:kern w:val="13"/>
          <w:sz w:val="24"/>
          <w:u w:val="single"/>
        </w:rPr>
        <w:t>0351-2654052</w:t>
      </w:r>
      <w:r>
        <w:rPr>
          <w:rFonts w:hint="eastAsia" w:ascii="宋体" w:hAnsi="宋体" w:cs="宋体"/>
          <w:kern w:val="13"/>
          <w:sz w:val="24"/>
          <w:u w:val="single"/>
        </w:rPr>
        <w:t xml:space="preserve"> </w:t>
      </w:r>
      <w:r>
        <w:rPr>
          <w:rFonts w:hint="eastAsia" w:ascii="宋体" w:hAnsi="宋体" w:cs="宋体"/>
          <w:kern w:val="13"/>
          <w:sz w:val="24"/>
        </w:rPr>
        <w:t>，乙方举报电话：</w:t>
      </w:r>
      <w:r>
        <w:rPr>
          <w:rFonts w:hint="eastAsia" w:ascii="宋体" w:hAnsi="宋体" w:cs="宋体"/>
          <w:kern w:val="13"/>
          <w:sz w:val="24"/>
          <w:u w:val="single"/>
        </w:rPr>
        <w:t xml:space="preserve">           </w:t>
      </w:r>
      <w:r>
        <w:rPr>
          <w:rFonts w:hint="eastAsia" w:ascii="宋体" w:hAnsi="宋体" w:cs="宋体"/>
          <w:kern w:val="13"/>
          <w:sz w:val="24"/>
        </w:rPr>
        <w:t>）。</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四、违约责任</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1.如甲方人员涉及违约，单位领导必须按照廉洁从业规定严肃处理，并将处理结果报上级纪检监察组织，同时，向乙方通报处理结果。</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2.如乙方人员涉及违约，甲方将视违约情节轻重，对乙方采取警告、罚没履约保证金或质保金、中止执行合同等处理措施，并不承担任何违约责任。</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五、甲乙双方监察部门有权约请对方监察部门对本协议的履行情况进行监督检查。</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六、本协议作为双方之间任何合同的附件，有效期为双方最后一份合同有效期。</w:t>
      </w:r>
    </w:p>
    <w:p>
      <w:pPr>
        <w:spacing w:line="360" w:lineRule="auto"/>
        <w:ind w:firstLine="480" w:firstLineChars="200"/>
        <w:rPr>
          <w:rFonts w:hint="eastAsia" w:ascii="宋体" w:hAnsi="宋体" w:cs="宋体"/>
          <w:kern w:val="13"/>
          <w:sz w:val="24"/>
        </w:rPr>
      </w:pPr>
      <w:r>
        <w:rPr>
          <w:rFonts w:hint="eastAsia" w:ascii="宋体" w:hAnsi="宋体" w:cs="宋体"/>
          <w:kern w:val="13"/>
          <w:sz w:val="24"/>
        </w:rPr>
        <w:t>七、本协议经双方盖章后生效。复印件由甲、乙双方监察部门保存。</w:t>
      </w:r>
    </w:p>
    <w:p>
      <w:pPr>
        <w:spacing w:line="360" w:lineRule="auto"/>
        <w:ind w:left="525" w:leftChars="224" w:hanging="55" w:hangingChars="23"/>
        <w:jc w:val="left"/>
        <w:rPr>
          <w:rFonts w:hint="eastAsia" w:ascii="宋体" w:hAnsi="宋体" w:cs="宋体"/>
          <w:kern w:val="13"/>
          <w:sz w:val="24"/>
        </w:rPr>
      </w:pPr>
    </w:p>
    <w:p>
      <w:pPr>
        <w:spacing w:line="600" w:lineRule="auto"/>
        <w:ind w:left="525" w:leftChars="224" w:hanging="55" w:hangingChars="23"/>
        <w:jc w:val="left"/>
        <w:rPr>
          <w:rFonts w:hint="eastAsia" w:ascii="宋体" w:hAnsi="宋体" w:cs="宋体"/>
          <w:kern w:val="13"/>
          <w:sz w:val="24"/>
        </w:rPr>
      </w:pPr>
      <w:r>
        <w:rPr>
          <w:rFonts w:hint="eastAsia" w:ascii="宋体" w:hAnsi="宋体" w:cs="宋体"/>
          <w:kern w:val="13"/>
          <w:sz w:val="24"/>
        </w:rPr>
        <w:t>甲方代表（签字）：                  乙方代表（签字）：</w:t>
      </w:r>
    </w:p>
    <w:p>
      <w:pPr>
        <w:spacing w:line="600" w:lineRule="auto"/>
        <w:ind w:left="525" w:leftChars="224" w:hanging="55" w:hangingChars="23"/>
        <w:jc w:val="left"/>
        <w:rPr>
          <w:rFonts w:hint="eastAsia" w:ascii="宋体" w:hAnsi="宋体" w:cs="宋体"/>
          <w:kern w:val="13"/>
          <w:sz w:val="24"/>
        </w:rPr>
      </w:pPr>
      <w:r>
        <w:rPr>
          <w:rFonts w:hint="eastAsia" w:ascii="宋体" w:hAnsi="宋体" w:cs="宋体"/>
          <w:kern w:val="13"/>
          <w:sz w:val="24"/>
        </w:rPr>
        <w:t xml:space="preserve">    单位（盖章）：                      单位（盖章）：</w:t>
      </w:r>
    </w:p>
    <w:p>
      <w:pPr>
        <w:spacing w:line="600" w:lineRule="auto"/>
        <w:ind w:firstLine="600" w:firstLineChars="250"/>
        <w:jc w:val="left"/>
        <w:rPr>
          <w:rFonts w:hint="eastAsia" w:ascii="宋体" w:hAnsi="宋体" w:cs="宋体"/>
          <w:b/>
          <w:sz w:val="24"/>
          <w:u w:val="single"/>
        </w:rPr>
      </w:pPr>
      <w:r>
        <w:rPr>
          <w:rFonts w:hint="eastAsia" w:ascii="宋体" w:hAnsi="宋体" w:cs="宋体"/>
          <w:kern w:val="13"/>
          <w:sz w:val="24"/>
          <w:u w:val="single"/>
        </w:rPr>
        <w:t xml:space="preserve">       </w:t>
      </w:r>
      <w:r>
        <w:rPr>
          <w:rFonts w:hint="eastAsia" w:ascii="宋体" w:hAnsi="宋体" w:cs="宋体"/>
          <w:kern w:val="13"/>
          <w:sz w:val="24"/>
        </w:rPr>
        <w:t>年</w:t>
      </w:r>
      <w:r>
        <w:rPr>
          <w:rFonts w:hint="eastAsia" w:ascii="宋体" w:hAnsi="宋体" w:cs="宋体"/>
          <w:kern w:val="13"/>
          <w:sz w:val="24"/>
          <w:u w:val="single"/>
        </w:rPr>
        <w:t xml:space="preserve">   </w:t>
      </w:r>
      <w:r>
        <w:rPr>
          <w:rFonts w:hint="eastAsia" w:ascii="宋体" w:hAnsi="宋体" w:cs="宋体"/>
          <w:kern w:val="13"/>
          <w:sz w:val="24"/>
        </w:rPr>
        <w:t>月</w:t>
      </w:r>
      <w:r>
        <w:rPr>
          <w:rFonts w:hint="eastAsia" w:ascii="宋体" w:hAnsi="宋体" w:cs="宋体"/>
          <w:kern w:val="13"/>
          <w:sz w:val="24"/>
          <w:u w:val="single"/>
        </w:rPr>
        <w:t xml:space="preserve">   </w:t>
      </w:r>
      <w:r>
        <w:rPr>
          <w:rFonts w:hint="eastAsia" w:ascii="宋体" w:hAnsi="宋体" w:cs="宋体"/>
          <w:kern w:val="13"/>
          <w:sz w:val="24"/>
        </w:rPr>
        <w:t xml:space="preserve">日                    </w:t>
      </w:r>
      <w:r>
        <w:rPr>
          <w:rFonts w:hint="eastAsia" w:ascii="宋体" w:hAnsi="宋体" w:cs="宋体"/>
          <w:kern w:val="13"/>
          <w:sz w:val="24"/>
          <w:u w:val="single"/>
        </w:rPr>
        <w:t xml:space="preserve">       </w:t>
      </w:r>
      <w:r>
        <w:rPr>
          <w:rFonts w:hint="eastAsia" w:ascii="宋体" w:hAnsi="宋体" w:cs="宋体"/>
          <w:kern w:val="13"/>
          <w:sz w:val="24"/>
        </w:rPr>
        <w:t>年</w:t>
      </w:r>
      <w:r>
        <w:rPr>
          <w:rFonts w:hint="eastAsia" w:ascii="宋体" w:hAnsi="宋体" w:cs="宋体"/>
          <w:kern w:val="13"/>
          <w:sz w:val="24"/>
          <w:u w:val="single"/>
        </w:rPr>
        <w:t xml:space="preserve">   </w:t>
      </w:r>
      <w:r>
        <w:rPr>
          <w:rFonts w:hint="eastAsia" w:ascii="宋体" w:hAnsi="宋体" w:cs="宋体"/>
          <w:kern w:val="13"/>
          <w:sz w:val="24"/>
        </w:rPr>
        <w:t>月</w:t>
      </w:r>
      <w:r>
        <w:rPr>
          <w:rFonts w:hint="eastAsia" w:ascii="宋体" w:hAnsi="宋体" w:cs="宋体"/>
          <w:kern w:val="13"/>
          <w:sz w:val="24"/>
          <w:u w:val="single"/>
        </w:rPr>
        <w:t xml:space="preserve">   </w:t>
      </w:r>
      <w:r>
        <w:rPr>
          <w:rFonts w:hint="eastAsia" w:ascii="宋体" w:hAnsi="宋体" w:cs="宋体"/>
          <w:kern w:val="13"/>
          <w:sz w:val="24"/>
        </w:rPr>
        <w:t>日</w:t>
      </w:r>
    </w:p>
    <w:p>
      <w:pPr>
        <w:spacing w:line="520" w:lineRule="exact"/>
        <w:rPr>
          <w:rFonts w:hint="eastAsia" w:ascii="仿宋" w:hAnsi="仿宋" w:eastAsia="仿宋"/>
          <w:sz w:val="32"/>
          <w:szCs w:val="32"/>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spacing w:afterLines="50" w:line="400" w:lineRule="exact"/>
        <w:jc w:val="center"/>
        <w:rPr>
          <w:rFonts w:ascii="方正小标宋简体" w:hAnsi="宋体" w:eastAsia="方正小标宋简体"/>
          <w:sz w:val="44"/>
          <w:szCs w:val="44"/>
          <w:u w:val="single"/>
        </w:rPr>
      </w:pPr>
    </w:p>
    <w:p>
      <w:pPr>
        <w:pStyle w:val="48"/>
        <w:tabs>
          <w:tab w:val="left" w:pos="993"/>
        </w:tabs>
        <w:spacing w:beforeLines="100" w:afterLines="100" w:line="300" w:lineRule="auto"/>
        <w:ind w:firstLine="0" w:firstLineChars="0"/>
        <w:jc w:val="center"/>
        <w:outlineLvl w:val="0"/>
        <w:rPr>
          <w:rFonts w:ascii="黑体" w:hAnsi="黑体" w:eastAsia="黑体" w:cs="宋体"/>
          <w:b/>
          <w:bCs/>
          <w:sz w:val="52"/>
          <w:szCs w:val="52"/>
        </w:rPr>
      </w:pPr>
      <w:bookmarkStart w:id="407" w:name="_Toc312"/>
      <w:r>
        <w:rPr>
          <w:rFonts w:hint="eastAsia" w:ascii="黑体" w:hAnsi="黑体" w:eastAsia="黑体" w:cs="宋体"/>
          <w:b/>
          <w:bCs/>
          <w:sz w:val="52"/>
          <w:szCs w:val="52"/>
          <w:lang w:val="zh-CN"/>
        </w:rPr>
        <w:t>第五部分</w:t>
      </w:r>
      <w:r>
        <w:rPr>
          <w:rFonts w:hint="eastAsia" w:ascii="黑体" w:hAnsi="黑体" w:eastAsia="黑体" w:cs="宋体"/>
          <w:b/>
          <w:bCs/>
          <w:sz w:val="52"/>
          <w:szCs w:val="52"/>
        </w:rPr>
        <w:t xml:space="preserve">  评标办法</w:t>
      </w:r>
      <w:bookmarkEnd w:id="407"/>
    </w:p>
    <w:bookmarkEnd w:id="389"/>
    <w:bookmarkEnd w:id="390"/>
    <w:bookmarkEnd w:id="391"/>
    <w:bookmarkEnd w:id="392"/>
    <w:bookmarkEnd w:id="393"/>
    <w:bookmarkEnd w:id="394"/>
    <w:bookmarkEnd w:id="395"/>
    <w:bookmarkEnd w:id="396"/>
    <w:bookmarkEnd w:id="397"/>
    <w:p>
      <w:pPr>
        <w:pStyle w:val="48"/>
        <w:tabs>
          <w:tab w:val="left" w:pos="284"/>
        </w:tabs>
        <w:spacing w:beforeLines="100" w:line="276" w:lineRule="auto"/>
        <w:ind w:firstLine="0" w:firstLineChars="0"/>
        <w:outlineLvl w:val="1"/>
        <w:rPr>
          <w:rFonts w:ascii="黑体" w:hAnsi="黑体" w:eastAsia="黑体"/>
          <w:sz w:val="28"/>
          <w:szCs w:val="28"/>
        </w:rPr>
      </w:pPr>
      <w:bookmarkStart w:id="408" w:name="_Toc20239"/>
      <w:bookmarkStart w:id="409" w:name="_Toc363638004"/>
      <w:bookmarkStart w:id="410" w:name="_Toc331195453"/>
      <w:bookmarkStart w:id="411" w:name="_Toc436224137"/>
      <w:bookmarkStart w:id="412" w:name="_Toc440491988"/>
      <w:bookmarkStart w:id="413" w:name="_Toc366770106"/>
      <w:bookmarkStart w:id="414" w:name="_Toc238797615"/>
      <w:bookmarkStart w:id="415" w:name="_Toc321997891"/>
      <w:bookmarkStart w:id="416" w:name="_Toc179632627"/>
      <w:bookmarkStart w:id="417" w:name="_Toc238552260"/>
      <w:r>
        <w:rPr>
          <w:rFonts w:hint="eastAsia" w:ascii="黑体" w:hAnsi="黑体" w:eastAsia="黑体"/>
          <w:sz w:val="28"/>
          <w:szCs w:val="28"/>
        </w:rPr>
        <w:t>一、评标方法</w:t>
      </w:r>
      <w:bookmarkEnd w:id="408"/>
    </w:p>
    <w:p>
      <w:pPr>
        <w:spacing w:line="276" w:lineRule="auto"/>
        <w:ind w:firstLine="480" w:firstLineChars="200"/>
        <w:rPr>
          <w:rFonts w:ascii="宋体" w:hAnsi="宋体"/>
          <w:sz w:val="24"/>
        </w:rPr>
      </w:pPr>
      <w:r>
        <w:rPr>
          <w:rFonts w:hint="eastAsia" w:ascii="宋体" w:hAnsi="宋体"/>
          <w:sz w:val="24"/>
        </w:rPr>
        <w:t>本次评标采用</w:t>
      </w:r>
      <w:r>
        <w:rPr>
          <w:rFonts w:hint="eastAsia" w:ascii="宋体" w:hAnsi="宋体"/>
          <w:b/>
          <w:bCs/>
          <w:sz w:val="24"/>
        </w:rPr>
        <w:t>经评审的最低投标价法</w:t>
      </w:r>
      <w:r>
        <w:rPr>
          <w:rFonts w:hint="eastAsia" w:ascii="宋体" w:hAnsi="宋体"/>
          <w:sz w:val="24"/>
        </w:rPr>
        <w:t>，即通过评审且经评审的投标价最低的投标人为第一中标候选人的评标方法，但明显低于成本价的或超过招标人可以接受价格的除外。</w:t>
      </w:r>
    </w:p>
    <w:p>
      <w:pPr>
        <w:pStyle w:val="48"/>
        <w:tabs>
          <w:tab w:val="left" w:pos="284"/>
        </w:tabs>
        <w:spacing w:beforeLines="100" w:line="276" w:lineRule="auto"/>
        <w:ind w:firstLine="0" w:firstLineChars="0"/>
        <w:outlineLvl w:val="1"/>
        <w:rPr>
          <w:rFonts w:ascii="黑体" w:hAnsi="黑体" w:eastAsia="黑体"/>
          <w:sz w:val="28"/>
          <w:szCs w:val="28"/>
        </w:rPr>
      </w:pPr>
      <w:bookmarkStart w:id="418" w:name="_Toc440491985"/>
      <w:bookmarkStart w:id="419" w:name="_Toc29890"/>
      <w:bookmarkStart w:id="420" w:name="_Toc366770103"/>
      <w:bookmarkStart w:id="421" w:name="_Toc321997888"/>
      <w:bookmarkStart w:id="422" w:name="_Toc363638001"/>
      <w:bookmarkStart w:id="423" w:name="_Toc17705"/>
      <w:bookmarkStart w:id="424" w:name="_Toc238797612"/>
      <w:bookmarkStart w:id="425" w:name="_Toc436224134"/>
      <w:bookmarkStart w:id="426" w:name="_Toc331195450"/>
      <w:bookmarkStart w:id="427" w:name="_Toc238552257"/>
      <w:bookmarkStart w:id="428" w:name="_Toc262740101"/>
      <w:bookmarkStart w:id="429" w:name="_Toc152045590"/>
      <w:bookmarkStart w:id="430" w:name="_Toc144974557"/>
      <w:bookmarkStart w:id="431" w:name="_Toc152042367"/>
      <w:r>
        <w:rPr>
          <w:rFonts w:hint="eastAsia" w:ascii="黑体" w:hAnsi="黑体" w:eastAsia="黑体"/>
          <w:sz w:val="28"/>
          <w:szCs w:val="28"/>
        </w:rPr>
        <w:t>二、</w:t>
      </w:r>
      <w:r>
        <w:rPr>
          <w:rFonts w:ascii="黑体" w:hAnsi="黑体" w:eastAsia="黑体"/>
          <w:sz w:val="28"/>
          <w:szCs w:val="28"/>
        </w:rPr>
        <w:t>评标</w:t>
      </w:r>
      <w:r>
        <w:rPr>
          <w:rFonts w:hint="eastAsia" w:ascii="黑体" w:hAnsi="黑体" w:eastAsia="黑体"/>
          <w:sz w:val="28"/>
          <w:szCs w:val="28"/>
        </w:rPr>
        <w:t>委员会</w:t>
      </w:r>
      <w:bookmarkEnd w:id="418"/>
      <w:bookmarkEnd w:id="419"/>
      <w:bookmarkEnd w:id="420"/>
      <w:bookmarkEnd w:id="421"/>
      <w:bookmarkEnd w:id="422"/>
      <w:bookmarkEnd w:id="423"/>
      <w:bookmarkEnd w:id="424"/>
      <w:bookmarkEnd w:id="425"/>
      <w:bookmarkEnd w:id="426"/>
      <w:bookmarkEnd w:id="427"/>
      <w:bookmarkEnd w:id="428"/>
    </w:p>
    <w:p>
      <w:pPr>
        <w:spacing w:line="276" w:lineRule="auto"/>
        <w:ind w:firstLine="480" w:firstLineChars="200"/>
        <w:rPr>
          <w:rFonts w:ascii="宋体" w:hAnsi="宋体"/>
          <w:sz w:val="24"/>
        </w:rPr>
      </w:pPr>
      <w:bookmarkStart w:id="432" w:name="_Toc231873569"/>
      <w:bookmarkStart w:id="433" w:name="_Toc231982863"/>
      <w:r>
        <w:rPr>
          <w:rFonts w:hint="eastAsia" w:ascii="宋体" w:hAnsi="宋体"/>
          <w:sz w:val="24"/>
        </w:rPr>
        <w:t>2.1评标委员会由</w:t>
      </w:r>
      <w:r>
        <w:rPr>
          <w:rFonts w:hint="eastAsia" w:ascii="宋体" w:hAnsi="宋体"/>
          <w:color w:val="FF0000"/>
          <w:sz w:val="24"/>
          <w:u w:val="single"/>
        </w:rPr>
        <w:t xml:space="preserve">  5 </w:t>
      </w:r>
      <w:r>
        <w:rPr>
          <w:rFonts w:hint="eastAsia" w:ascii="宋体" w:hAnsi="宋体"/>
          <w:sz w:val="24"/>
        </w:rPr>
        <w:t>人组成</w:t>
      </w:r>
      <w:r>
        <w:rPr>
          <w:rFonts w:hint="eastAsia" w:ascii="宋体" w:hAnsi="宋体"/>
          <w:i/>
          <w:iCs/>
          <w:sz w:val="24"/>
        </w:rPr>
        <w:t>（人数为五人(含五人)以上单数，</w:t>
      </w:r>
      <w:r>
        <w:rPr>
          <w:rFonts w:ascii="宋体" w:hAnsi="宋体"/>
          <w:i/>
          <w:iCs/>
          <w:sz w:val="24"/>
        </w:rPr>
        <w:t>其中技术、经济</w:t>
      </w:r>
      <w:r>
        <w:rPr>
          <w:rFonts w:hint="eastAsia" w:ascii="宋体" w:hAnsi="宋体"/>
          <w:i/>
          <w:iCs/>
          <w:sz w:val="24"/>
        </w:rPr>
        <w:t>、财务（税务）</w:t>
      </w:r>
      <w:r>
        <w:rPr>
          <w:rFonts w:ascii="宋体" w:hAnsi="宋体"/>
          <w:i/>
          <w:iCs/>
          <w:sz w:val="24"/>
        </w:rPr>
        <w:t>等方面的专家不少于成员总数的三分之二</w:t>
      </w:r>
      <w:r>
        <w:rPr>
          <w:rFonts w:hint="eastAsia" w:ascii="宋体" w:hAnsi="宋体"/>
          <w:i/>
          <w:iCs/>
          <w:sz w:val="24"/>
        </w:rPr>
        <w:t>）</w:t>
      </w:r>
      <w:r>
        <w:rPr>
          <w:rFonts w:hint="eastAsia" w:ascii="宋体" w:hAnsi="宋体"/>
          <w:sz w:val="24"/>
        </w:rPr>
        <w:t>。</w:t>
      </w:r>
      <w:bookmarkEnd w:id="432"/>
      <w:bookmarkEnd w:id="433"/>
    </w:p>
    <w:p>
      <w:pPr>
        <w:spacing w:line="276" w:lineRule="auto"/>
        <w:ind w:firstLine="480" w:firstLineChars="200"/>
        <w:rPr>
          <w:rFonts w:ascii="宋体" w:hAnsi="宋体"/>
          <w:sz w:val="24"/>
        </w:rPr>
      </w:pPr>
      <w:bookmarkStart w:id="434" w:name="_Toc231982864"/>
      <w:bookmarkStart w:id="435" w:name="_Toc231873570"/>
      <w:r>
        <w:rPr>
          <w:rFonts w:hint="eastAsia" w:ascii="宋体" w:hAnsi="宋体"/>
          <w:sz w:val="24"/>
        </w:rPr>
        <w:t>2.2评标委员会负责整个评标工作。如果评标委员会成员对审议事项存有不同意见，以评标委员会成员三分之二以上多数的意见为准。如仍然无法达成一致，审议事项应在重新评审后，以评标委员会成员简单多数的意见为准。</w:t>
      </w:r>
      <w:bookmarkEnd w:id="434"/>
    </w:p>
    <w:bookmarkEnd w:id="435"/>
    <w:p>
      <w:pPr>
        <w:spacing w:line="276" w:lineRule="auto"/>
        <w:ind w:firstLine="480" w:firstLineChars="200"/>
        <w:rPr>
          <w:rFonts w:ascii="宋体" w:hAnsi="宋体"/>
          <w:sz w:val="24"/>
        </w:rPr>
      </w:pPr>
      <w:bookmarkStart w:id="436" w:name="_Toc231873571"/>
      <w:bookmarkStart w:id="437" w:name="_Toc231982865"/>
      <w:r>
        <w:rPr>
          <w:rFonts w:hint="eastAsia" w:ascii="宋体" w:hAnsi="宋体"/>
          <w:sz w:val="24"/>
        </w:rPr>
        <w:t>2.3评标工作接受依法实施的监督。</w:t>
      </w:r>
      <w:bookmarkEnd w:id="436"/>
      <w:bookmarkEnd w:id="437"/>
    </w:p>
    <w:bookmarkEnd w:id="429"/>
    <w:bookmarkEnd w:id="430"/>
    <w:bookmarkEnd w:id="431"/>
    <w:p>
      <w:pPr>
        <w:pStyle w:val="48"/>
        <w:tabs>
          <w:tab w:val="left" w:pos="284"/>
        </w:tabs>
        <w:spacing w:beforeLines="100" w:line="276" w:lineRule="auto"/>
        <w:ind w:firstLine="0" w:firstLineChars="0"/>
        <w:outlineLvl w:val="1"/>
        <w:rPr>
          <w:rFonts w:ascii="黑体" w:hAnsi="黑体" w:eastAsia="黑体"/>
          <w:sz w:val="28"/>
          <w:szCs w:val="28"/>
        </w:rPr>
      </w:pPr>
      <w:bookmarkStart w:id="438" w:name="_Toc366770104"/>
      <w:bookmarkStart w:id="439" w:name="_Toc11662"/>
      <w:bookmarkStart w:id="440" w:name="_Toc262740102"/>
      <w:bookmarkStart w:id="441" w:name="_Toc238552258"/>
      <w:bookmarkStart w:id="442" w:name="_Toc363638002"/>
      <w:bookmarkStart w:id="443" w:name="_Toc152042370"/>
      <w:bookmarkStart w:id="444" w:name="_Toc5108"/>
      <w:bookmarkStart w:id="445" w:name="_Toc144974560"/>
      <w:bookmarkStart w:id="446" w:name="_Toc238797613"/>
      <w:bookmarkStart w:id="447" w:name="_Toc440491986"/>
      <w:bookmarkStart w:id="448" w:name="_Toc436224135"/>
      <w:bookmarkStart w:id="449" w:name="_Toc331195451"/>
      <w:bookmarkStart w:id="450" w:name="_Toc152045593"/>
      <w:bookmarkStart w:id="451" w:name="_Toc321997889"/>
      <w:r>
        <w:rPr>
          <w:rFonts w:hint="eastAsia" w:ascii="黑体" w:hAnsi="黑体" w:eastAsia="黑体"/>
          <w:sz w:val="28"/>
          <w:szCs w:val="28"/>
        </w:rPr>
        <w:t>三、评标程序</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p>
    <w:p>
      <w:pPr>
        <w:spacing w:line="276" w:lineRule="auto"/>
        <w:ind w:firstLine="480" w:firstLineChars="200"/>
        <w:rPr>
          <w:rFonts w:ascii="宋体" w:hAnsi="宋体"/>
          <w:sz w:val="24"/>
        </w:rPr>
      </w:pPr>
      <w:bookmarkStart w:id="452" w:name="_Toc152042371"/>
      <w:bookmarkStart w:id="453" w:name="_Toc152045594"/>
      <w:bookmarkStart w:id="454" w:name="_Toc231982868"/>
      <w:bookmarkStart w:id="455" w:name="_Toc144974561"/>
      <w:r>
        <w:rPr>
          <w:rFonts w:hint="eastAsia" w:ascii="宋体" w:hAnsi="宋体"/>
          <w:sz w:val="24"/>
        </w:rPr>
        <w:t>3.1资格评审、商务评审、技术评审采用通过制，未通过资格评审、商务评审、技术评审的投标按</w:t>
      </w:r>
      <w:r>
        <w:rPr>
          <w:rFonts w:hint="eastAsia" w:ascii="宋体" w:hAnsi="宋体"/>
          <w:b/>
          <w:bCs/>
          <w:sz w:val="24"/>
        </w:rPr>
        <w:t>废标</w:t>
      </w:r>
      <w:r>
        <w:rPr>
          <w:rFonts w:hint="eastAsia" w:ascii="宋体" w:hAnsi="宋体"/>
          <w:sz w:val="24"/>
        </w:rPr>
        <w:t>处理,不再进行报价评审。</w:t>
      </w:r>
    </w:p>
    <w:p>
      <w:pPr>
        <w:spacing w:line="276" w:lineRule="auto"/>
        <w:ind w:firstLine="480" w:firstLineChars="200"/>
        <w:rPr>
          <w:rFonts w:ascii="宋体" w:hAnsi="宋体"/>
          <w:sz w:val="24"/>
        </w:rPr>
      </w:pPr>
      <w:r>
        <w:rPr>
          <w:rFonts w:hint="eastAsia" w:ascii="宋体" w:hAnsi="宋体"/>
          <w:sz w:val="24"/>
        </w:rPr>
        <w:t>3.2资格评审：根据投标人资格条件要求，对投标人递交的资格文件及投标保证金收据进行审查。评标委员会有权要求有疑问的投标人提供所需投标文件的原件，不能提供完整原件的投标文件将按废标处理。</w:t>
      </w:r>
    </w:p>
    <w:p>
      <w:pPr>
        <w:spacing w:line="276" w:lineRule="auto"/>
        <w:ind w:firstLine="480" w:firstLineChars="200"/>
        <w:rPr>
          <w:rFonts w:ascii="宋体" w:hAnsi="宋体"/>
          <w:sz w:val="24"/>
        </w:rPr>
      </w:pPr>
      <w:r>
        <w:rPr>
          <w:rFonts w:hint="eastAsia" w:ascii="宋体" w:hAnsi="宋体"/>
          <w:sz w:val="24"/>
        </w:rPr>
        <w:t>3.3</w:t>
      </w:r>
      <w:bookmarkEnd w:id="452"/>
      <w:bookmarkEnd w:id="453"/>
      <w:bookmarkEnd w:id="454"/>
      <w:bookmarkEnd w:id="455"/>
      <w:r>
        <w:rPr>
          <w:rFonts w:hint="eastAsia" w:ascii="宋体" w:hAnsi="宋体"/>
          <w:sz w:val="24"/>
        </w:rPr>
        <w:t>商务评审：审查投标人是否根据招标文件的规定提供了要求的文件，审核投标文件是否实质性地符合招标文件的要求，商务审查的主要内容为：</w:t>
      </w:r>
    </w:p>
    <w:p>
      <w:pPr>
        <w:spacing w:line="276" w:lineRule="auto"/>
        <w:ind w:firstLine="480" w:firstLineChars="200"/>
        <w:rPr>
          <w:rFonts w:ascii="宋体" w:hAnsi="宋体"/>
          <w:sz w:val="24"/>
        </w:rPr>
      </w:pPr>
      <w:r>
        <w:rPr>
          <w:rFonts w:hint="eastAsia" w:ascii="宋体" w:hAnsi="宋体"/>
          <w:sz w:val="24"/>
        </w:rPr>
        <w:t>（1）是否按照规定格式提供了投标函（附录1）；</w:t>
      </w:r>
    </w:p>
    <w:p>
      <w:pPr>
        <w:spacing w:line="276" w:lineRule="auto"/>
        <w:ind w:firstLine="480" w:firstLineChars="200"/>
        <w:rPr>
          <w:rFonts w:ascii="宋体" w:hAnsi="宋体"/>
          <w:sz w:val="24"/>
        </w:rPr>
      </w:pPr>
      <w:r>
        <w:rPr>
          <w:rFonts w:hint="eastAsia" w:ascii="宋体" w:hAnsi="宋体"/>
          <w:sz w:val="24"/>
        </w:rPr>
        <w:t>（2）是否提供了符合招标文件要求的投标报价表；</w:t>
      </w:r>
    </w:p>
    <w:p>
      <w:pPr>
        <w:spacing w:line="276" w:lineRule="auto"/>
        <w:ind w:firstLine="480" w:firstLineChars="200"/>
        <w:rPr>
          <w:rFonts w:ascii="宋体" w:hAnsi="宋体"/>
          <w:sz w:val="24"/>
        </w:rPr>
      </w:pPr>
      <w:r>
        <w:rPr>
          <w:rFonts w:hint="eastAsia" w:ascii="宋体" w:hAnsi="宋体"/>
          <w:sz w:val="24"/>
        </w:rPr>
        <w:t>（3）是否按照规定格式提供了满足交货数量、交货期、交货地点要求的投标；</w:t>
      </w:r>
    </w:p>
    <w:p>
      <w:pPr>
        <w:spacing w:line="276" w:lineRule="auto"/>
        <w:ind w:firstLine="480" w:firstLineChars="200"/>
        <w:rPr>
          <w:rFonts w:ascii="宋体" w:hAnsi="宋体"/>
          <w:sz w:val="24"/>
        </w:rPr>
      </w:pPr>
      <w:r>
        <w:rPr>
          <w:rFonts w:hint="eastAsia" w:ascii="宋体" w:hAnsi="宋体"/>
          <w:sz w:val="24"/>
        </w:rPr>
        <w:t>（4）是否按照规定格式提供了投标人法定代表人授权书（附录3）；</w:t>
      </w:r>
    </w:p>
    <w:p>
      <w:pPr>
        <w:spacing w:line="276" w:lineRule="auto"/>
        <w:ind w:firstLine="480" w:firstLineChars="200"/>
        <w:rPr>
          <w:rFonts w:ascii="宋体" w:hAnsi="宋体"/>
          <w:sz w:val="24"/>
        </w:rPr>
      </w:pPr>
      <w:r>
        <w:rPr>
          <w:rFonts w:hint="eastAsia" w:ascii="宋体" w:hAnsi="宋体"/>
          <w:sz w:val="24"/>
        </w:rPr>
        <w:t>（5）是否提供了法人营业执照（复印件）、企业税务登记证（复印件）；</w:t>
      </w:r>
    </w:p>
    <w:p>
      <w:pPr>
        <w:spacing w:line="276" w:lineRule="auto"/>
        <w:ind w:firstLine="480" w:firstLineChars="200"/>
        <w:rPr>
          <w:rFonts w:ascii="宋体" w:hAnsi="宋体"/>
          <w:sz w:val="24"/>
        </w:rPr>
      </w:pPr>
      <w:r>
        <w:rPr>
          <w:rFonts w:hint="eastAsia" w:ascii="宋体" w:hAnsi="宋体"/>
          <w:sz w:val="24"/>
        </w:rPr>
        <w:t>（6）是否对商务条款提出了招标人不能接受的条件。</w:t>
      </w:r>
    </w:p>
    <w:p>
      <w:pPr>
        <w:spacing w:line="276" w:lineRule="auto"/>
        <w:ind w:firstLine="480" w:firstLineChars="200"/>
        <w:rPr>
          <w:rFonts w:ascii="宋体" w:hAnsi="宋体"/>
          <w:sz w:val="24"/>
        </w:rPr>
      </w:pPr>
      <w:r>
        <w:rPr>
          <w:rFonts w:hint="eastAsia" w:ascii="宋体" w:hAnsi="宋体"/>
          <w:sz w:val="24"/>
        </w:rPr>
        <w:t>3.4技术评审：审查投标人是否根据招标文件的规定提供了技术文件，审核投标文件是否实质性地符合招标文件的要求，技术审查的主要内容为：</w:t>
      </w:r>
    </w:p>
    <w:p>
      <w:pPr>
        <w:spacing w:line="276" w:lineRule="auto"/>
        <w:ind w:firstLine="480" w:firstLineChars="200"/>
        <w:rPr>
          <w:rFonts w:ascii="宋体" w:hAnsi="宋体"/>
          <w:sz w:val="24"/>
        </w:rPr>
      </w:pPr>
      <w:r>
        <w:rPr>
          <w:rFonts w:hint="eastAsia" w:ascii="宋体" w:hAnsi="宋体"/>
          <w:sz w:val="24"/>
        </w:rPr>
        <w:t>（1）投标物资规格型号是否为招标所需物资；</w:t>
      </w:r>
    </w:p>
    <w:p>
      <w:pPr>
        <w:spacing w:line="276" w:lineRule="auto"/>
        <w:ind w:firstLine="480" w:firstLineChars="200"/>
        <w:rPr>
          <w:rFonts w:ascii="宋体" w:hAnsi="宋体"/>
          <w:sz w:val="24"/>
        </w:rPr>
      </w:pPr>
      <w:r>
        <w:rPr>
          <w:rFonts w:hint="eastAsia" w:ascii="宋体" w:hAnsi="宋体"/>
          <w:sz w:val="24"/>
        </w:rPr>
        <w:t>（2）生产厂家（品牌）是否符合招标文件规定；</w:t>
      </w:r>
    </w:p>
    <w:p>
      <w:pPr>
        <w:spacing w:line="276" w:lineRule="auto"/>
        <w:ind w:firstLine="480" w:firstLineChars="200"/>
        <w:rPr>
          <w:rFonts w:ascii="宋体" w:hAnsi="宋体"/>
          <w:sz w:val="24"/>
        </w:rPr>
      </w:pPr>
      <w:r>
        <w:rPr>
          <w:rFonts w:hint="eastAsia" w:ascii="宋体" w:hAnsi="宋体"/>
          <w:sz w:val="24"/>
        </w:rPr>
        <w:t>（3）投标物资主要技术指标和性能是否满足技术规格书要求；</w:t>
      </w:r>
    </w:p>
    <w:p>
      <w:pPr>
        <w:spacing w:line="276" w:lineRule="auto"/>
        <w:ind w:firstLine="480" w:firstLineChars="200"/>
        <w:rPr>
          <w:rFonts w:ascii="宋体" w:hAnsi="宋体"/>
          <w:sz w:val="24"/>
        </w:rPr>
      </w:pPr>
      <w:r>
        <w:rPr>
          <w:rFonts w:hint="eastAsia" w:ascii="宋体" w:hAnsi="宋体"/>
          <w:sz w:val="24"/>
        </w:rPr>
        <w:t>（4）是否对技术条款或技术规格书提出了招标人不能接受的条件。</w:t>
      </w:r>
    </w:p>
    <w:p>
      <w:pPr>
        <w:spacing w:line="276" w:lineRule="auto"/>
        <w:ind w:firstLine="480" w:firstLineChars="200"/>
        <w:rPr>
          <w:rFonts w:ascii="宋体" w:hAnsi="宋体"/>
          <w:sz w:val="24"/>
        </w:rPr>
      </w:pPr>
      <w:r>
        <w:rPr>
          <w:rFonts w:hint="eastAsia" w:ascii="宋体" w:hAnsi="宋体"/>
          <w:sz w:val="24"/>
        </w:rPr>
        <w:t>3.5报价评审：</w:t>
      </w:r>
    </w:p>
    <w:p>
      <w:pPr>
        <w:spacing w:line="276" w:lineRule="auto"/>
        <w:ind w:firstLine="480" w:firstLineChars="200"/>
        <w:rPr>
          <w:rFonts w:ascii="宋体" w:hAnsi="宋体"/>
          <w:sz w:val="24"/>
        </w:rPr>
      </w:pPr>
      <w:r>
        <w:rPr>
          <w:rFonts w:hint="eastAsia" w:ascii="宋体" w:hAnsi="宋体"/>
          <w:sz w:val="24"/>
        </w:rPr>
        <w:t>3.5.1算术性计算错误的修正</w:t>
      </w:r>
    </w:p>
    <w:p>
      <w:pPr>
        <w:spacing w:line="276" w:lineRule="auto"/>
        <w:ind w:firstLine="480" w:firstLineChars="200"/>
        <w:rPr>
          <w:rFonts w:ascii="宋体" w:hAnsi="宋体"/>
          <w:sz w:val="24"/>
        </w:rPr>
      </w:pPr>
      <w:r>
        <w:rPr>
          <w:rFonts w:hint="eastAsia" w:ascii="宋体" w:hAnsi="宋体"/>
          <w:sz w:val="24"/>
        </w:rPr>
        <w:t>评标委员会按照以下规定对投标报价进行算术性计算错误修正：</w:t>
      </w:r>
    </w:p>
    <w:p>
      <w:pPr>
        <w:spacing w:line="276" w:lineRule="auto"/>
        <w:ind w:firstLine="480" w:firstLineChars="200"/>
        <w:rPr>
          <w:rFonts w:ascii="宋体" w:hAnsi="宋体"/>
          <w:sz w:val="24"/>
        </w:rPr>
      </w:pPr>
      <w:r>
        <w:rPr>
          <w:rFonts w:hint="eastAsia" w:ascii="宋体" w:hAnsi="宋体"/>
          <w:sz w:val="24"/>
        </w:rPr>
        <w:t>（1）如果用数字表示的金额与用文字表示的金额不一致时，以文字金额为准，并修正数字表示的报价、合价；</w:t>
      </w:r>
    </w:p>
    <w:p>
      <w:pPr>
        <w:spacing w:line="276" w:lineRule="auto"/>
        <w:ind w:firstLine="480" w:firstLineChars="200"/>
        <w:rPr>
          <w:rFonts w:ascii="宋体" w:hAnsi="宋体"/>
          <w:sz w:val="24"/>
        </w:rPr>
      </w:pPr>
      <w:r>
        <w:rPr>
          <w:rFonts w:hint="eastAsia" w:ascii="宋体" w:hAnsi="宋体"/>
          <w:sz w:val="24"/>
        </w:rPr>
        <w:t>（2）如果单价和合价不符或合价与报价不符，以单价为准，修正合价，以合价为准，修正报价；但单价金额小数点有明显的错误除外</w:t>
      </w:r>
      <w:r>
        <w:rPr>
          <w:rFonts w:hint="eastAsia" w:ascii="宋体" w:hAnsi="宋体"/>
          <w:color w:val="FF0000"/>
          <w:sz w:val="24"/>
        </w:rPr>
        <w:t>。</w:t>
      </w:r>
    </w:p>
    <w:p>
      <w:pPr>
        <w:spacing w:line="276" w:lineRule="auto"/>
        <w:ind w:firstLine="480" w:firstLineChars="200"/>
        <w:rPr>
          <w:rFonts w:ascii="宋体" w:hAnsi="宋体"/>
          <w:sz w:val="24"/>
        </w:rPr>
      </w:pPr>
      <w:r>
        <w:rPr>
          <w:rFonts w:hint="eastAsia" w:ascii="宋体" w:hAnsi="宋体"/>
          <w:sz w:val="24"/>
        </w:rPr>
        <w:t>3.5.2评标价的评定</w:t>
      </w:r>
    </w:p>
    <w:p>
      <w:pPr>
        <w:spacing w:line="276" w:lineRule="auto"/>
        <w:ind w:firstLine="480" w:firstLineChars="200"/>
        <w:rPr>
          <w:rFonts w:ascii="宋体" w:hAnsi="宋体"/>
          <w:sz w:val="24"/>
        </w:rPr>
      </w:pPr>
      <w:r>
        <w:rPr>
          <w:rFonts w:hint="eastAsia" w:ascii="宋体" w:hAnsi="宋体"/>
          <w:sz w:val="24"/>
        </w:rPr>
        <w:t>（1）根据不同计税方法的工程项目，采用不同的评定方法。</w:t>
      </w:r>
    </w:p>
    <w:p>
      <w:pPr>
        <w:spacing w:line="276" w:lineRule="auto"/>
        <w:ind w:firstLine="480" w:firstLineChars="200"/>
        <w:rPr>
          <w:rFonts w:ascii="宋体" w:hAnsi="宋体"/>
          <w:sz w:val="24"/>
        </w:rPr>
      </w:pPr>
      <w:r>
        <w:rPr>
          <w:rFonts w:hint="eastAsia" w:ascii="宋体" w:hAnsi="宋体"/>
          <w:sz w:val="24"/>
        </w:rPr>
        <w:t>A. 执行简易征收方法的项目</w:t>
      </w:r>
    </w:p>
    <w:p>
      <w:pPr>
        <w:spacing w:line="276" w:lineRule="auto"/>
        <w:ind w:firstLine="480" w:firstLineChars="200"/>
        <w:rPr>
          <w:rFonts w:ascii="宋体" w:hAnsi="宋体"/>
          <w:sz w:val="24"/>
        </w:rPr>
      </w:pPr>
      <w:r>
        <w:rPr>
          <w:rFonts w:hint="eastAsia" w:ascii="宋体" w:hAnsi="宋体"/>
          <w:sz w:val="24"/>
        </w:rPr>
        <w:t>对于不抵扣进项税的项目，直接按照各投标人报价的含税价予以评定。</w:t>
      </w:r>
    </w:p>
    <w:p>
      <w:pPr>
        <w:spacing w:line="276" w:lineRule="auto"/>
        <w:ind w:firstLine="480" w:firstLineChars="200"/>
        <w:rPr>
          <w:rFonts w:ascii="宋体" w:hAnsi="宋体"/>
          <w:sz w:val="24"/>
        </w:rPr>
      </w:pPr>
      <w:r>
        <w:rPr>
          <w:rFonts w:hint="eastAsia" w:ascii="宋体" w:hAnsi="宋体"/>
          <w:sz w:val="24"/>
        </w:rPr>
        <w:t>B. 执行一般计税方法的项目</w:t>
      </w:r>
    </w:p>
    <w:p>
      <w:pPr>
        <w:spacing w:line="276" w:lineRule="auto"/>
        <w:ind w:firstLine="480" w:firstLineChars="200"/>
        <w:rPr>
          <w:rFonts w:ascii="宋体" w:hAnsi="宋体"/>
          <w:sz w:val="24"/>
        </w:rPr>
      </w:pPr>
      <w:r>
        <w:rPr>
          <w:rFonts w:hint="eastAsia" w:ascii="宋体" w:hAnsi="宋体"/>
          <w:sz w:val="24"/>
        </w:rPr>
        <w:t>按照“评审价格”予以评定。</w:t>
      </w:r>
    </w:p>
    <w:p>
      <w:pPr>
        <w:pStyle w:val="48"/>
        <w:tabs>
          <w:tab w:val="left" w:pos="851"/>
        </w:tabs>
        <w:spacing w:line="276" w:lineRule="auto"/>
        <w:ind w:firstLine="482"/>
        <w:rPr>
          <w:rFonts w:ascii="宋体" w:hAnsi="宋体"/>
          <w:b/>
          <w:bCs/>
          <w:sz w:val="24"/>
        </w:rPr>
      </w:pPr>
      <w:r>
        <w:rPr>
          <w:rFonts w:hint="eastAsia" w:ascii="宋体" w:hAnsi="宋体"/>
          <w:b/>
          <w:bCs/>
          <w:sz w:val="24"/>
        </w:rPr>
        <w:t>投标人评审价格=净价+净价×（所有投标人的最高进项抵扣税率-投标人进项抵扣税率）×附加税率之和</w:t>
      </w:r>
    </w:p>
    <w:p>
      <w:pPr>
        <w:spacing w:line="276" w:lineRule="auto"/>
        <w:ind w:firstLine="480" w:firstLineChars="200"/>
        <w:rPr>
          <w:rFonts w:ascii="宋体" w:hAnsi="宋体"/>
          <w:sz w:val="24"/>
          <w:lang w:val="zh-TW"/>
        </w:rPr>
      </w:pPr>
      <w:r>
        <w:rPr>
          <w:rFonts w:hint="eastAsia" w:ascii="宋体" w:hAnsi="宋体"/>
          <w:sz w:val="24"/>
          <w:lang w:val="zh-TW"/>
        </w:rPr>
        <w:t>公式说明：</w:t>
      </w:r>
    </w:p>
    <w:p>
      <w:pPr>
        <w:spacing w:line="276" w:lineRule="auto"/>
        <w:ind w:firstLine="480" w:firstLineChars="200"/>
        <w:rPr>
          <w:rFonts w:ascii="宋体" w:hAnsi="宋体"/>
          <w:sz w:val="24"/>
          <w:lang w:val="zh-TW"/>
        </w:rPr>
      </w:pPr>
      <w:r>
        <w:rPr>
          <w:rFonts w:hint="eastAsia" w:ascii="宋体" w:hAnsi="宋体"/>
          <w:sz w:val="24"/>
        </w:rPr>
        <w:t>①</w:t>
      </w:r>
      <w:r>
        <w:rPr>
          <w:rFonts w:hint="eastAsia" w:ascii="宋体" w:hAnsi="宋体"/>
          <w:sz w:val="24"/>
          <w:lang w:val="zh-TW"/>
        </w:rPr>
        <w:t>净价：能提供增值税扣税凭证的投标人，其“净价”是指增值税扣税凭证的不含税价格；对于只能提供普通发票的投标人，其含税价格即是评审价格。</w:t>
      </w:r>
    </w:p>
    <w:p>
      <w:pPr>
        <w:spacing w:line="276" w:lineRule="auto"/>
        <w:ind w:firstLine="480" w:firstLineChars="200"/>
        <w:rPr>
          <w:rFonts w:ascii="宋体" w:hAnsi="宋体"/>
          <w:sz w:val="24"/>
          <w:lang w:val="zh-TW"/>
        </w:rPr>
      </w:pPr>
      <w:r>
        <w:rPr>
          <w:rFonts w:hint="eastAsia" w:ascii="宋体" w:hAnsi="宋体"/>
          <w:sz w:val="24"/>
          <w:lang w:val="zh-TW"/>
        </w:rPr>
        <w:t>②净价×（所有投标人的最高进项抵扣税率-投标人进项抵扣税率)×附加税率之和，是计算最高进项抵扣税率与投标人自身进项抵扣税率的差额对附加税的影响。</w:t>
      </w:r>
    </w:p>
    <w:p>
      <w:pPr>
        <w:spacing w:line="276" w:lineRule="auto"/>
        <w:ind w:firstLine="480" w:firstLineChars="200"/>
        <w:rPr>
          <w:rFonts w:ascii="宋体" w:hAnsi="宋体"/>
          <w:sz w:val="24"/>
          <w:lang w:val="zh-TW"/>
        </w:rPr>
      </w:pPr>
      <w:r>
        <w:rPr>
          <w:rFonts w:hint="eastAsia" w:ascii="宋体" w:hAnsi="宋体"/>
          <w:sz w:val="24"/>
          <w:lang w:val="zh-TW"/>
        </w:rPr>
        <w:t>③附加税率之和，包含城建税、教育费附加、地方教育费附加等（业务部门应向财务部门咨询当地的附加税率）。</w:t>
      </w:r>
    </w:p>
    <w:p>
      <w:pPr>
        <w:spacing w:line="276" w:lineRule="auto"/>
        <w:ind w:firstLine="480" w:firstLineChars="200"/>
        <w:rPr>
          <w:rFonts w:ascii="宋体" w:hAnsi="宋体"/>
          <w:sz w:val="24"/>
        </w:rPr>
      </w:pPr>
      <w:r>
        <w:rPr>
          <w:rFonts w:hint="eastAsia" w:ascii="宋体" w:hAnsi="宋体"/>
          <w:sz w:val="24"/>
        </w:rPr>
        <w:t>（2）如果发现投标供货范围有非实质性的遗漏，为便于公平比较，遗漏部分的价格要用同一个包件所有投标中相同部分的最高报价计入评标价；</w:t>
      </w:r>
    </w:p>
    <w:p>
      <w:pPr>
        <w:spacing w:line="276" w:lineRule="auto"/>
        <w:ind w:firstLine="480" w:firstLineChars="200"/>
        <w:rPr>
          <w:rFonts w:ascii="宋体" w:hAnsi="宋体"/>
          <w:sz w:val="24"/>
        </w:rPr>
      </w:pPr>
      <w:r>
        <w:rPr>
          <w:rFonts w:hint="eastAsia" w:ascii="宋体" w:hAnsi="宋体"/>
          <w:sz w:val="24"/>
        </w:rPr>
        <w:t>（3）投标报价按照评标委员会根据上述过程的修正值予以调整，投标人应被视为受此约束。如果投标人不接受修正过后的报价，其投标将被拒绝；</w:t>
      </w:r>
    </w:p>
    <w:p>
      <w:pPr>
        <w:spacing w:line="276" w:lineRule="auto"/>
        <w:ind w:firstLine="480" w:firstLineChars="200"/>
        <w:rPr>
          <w:rFonts w:ascii="宋体" w:hAnsi="宋体"/>
          <w:sz w:val="24"/>
        </w:rPr>
      </w:pPr>
      <w:r>
        <w:rPr>
          <w:rFonts w:hint="eastAsia" w:ascii="宋体" w:hAnsi="宋体"/>
          <w:sz w:val="24"/>
        </w:rPr>
        <w:t>（4）投标价分析：评标委员会对投标报价进行评审，审查投标报价是否明显低于成本价或明显高于市场价或预算价。</w:t>
      </w:r>
    </w:p>
    <w:p>
      <w:pPr>
        <w:spacing w:line="276" w:lineRule="auto"/>
        <w:ind w:firstLine="480" w:firstLineChars="200"/>
        <w:rPr>
          <w:rFonts w:ascii="宋体" w:hAnsi="宋体"/>
          <w:sz w:val="24"/>
        </w:rPr>
      </w:pPr>
      <w:r>
        <w:rPr>
          <w:rFonts w:hint="eastAsia" w:ascii="宋体" w:hAnsi="宋体"/>
          <w:sz w:val="24"/>
        </w:rPr>
        <w:t>低于成本价的确认：如果投标人的投标报价明显低于成本价、或投标报价明显低于其他投标报价的，评标委员会将要求该投标人做出书面说明和提供相关证明材料，投标人不能合理说明或者不能提供相关证明材料的，由评标委员会认定该投标人以低于成本价竞标。</w:t>
      </w:r>
    </w:p>
    <w:p>
      <w:pPr>
        <w:spacing w:line="276" w:lineRule="auto"/>
        <w:ind w:firstLine="480" w:firstLineChars="200"/>
        <w:rPr>
          <w:rFonts w:ascii="宋体" w:hAnsi="宋体"/>
          <w:sz w:val="24"/>
        </w:rPr>
      </w:pPr>
      <w:r>
        <w:rPr>
          <w:rFonts w:hint="eastAsia" w:ascii="宋体" w:hAnsi="宋体"/>
          <w:sz w:val="24"/>
        </w:rPr>
        <w:t>明显高于市场价的确认：如果投标人的投标报价高于投标交易地的物价部门上月（或季度）指导价或者投标交易地当月的市场平均交易价，评标委员会将要求该投标人做出书面说明和提供相关证明材料，投标人不能合理说明或者不能提供相关证明材料的，由评标委员会认定该投标人以明显高于市场价竞标。</w:t>
      </w:r>
    </w:p>
    <w:p>
      <w:pPr>
        <w:spacing w:line="276" w:lineRule="auto"/>
        <w:ind w:firstLine="480" w:firstLineChars="200"/>
        <w:rPr>
          <w:rFonts w:ascii="宋体" w:hAnsi="宋体"/>
          <w:sz w:val="24"/>
        </w:rPr>
      </w:pPr>
      <w:r>
        <w:rPr>
          <w:rFonts w:hint="eastAsia" w:ascii="宋体" w:hAnsi="宋体"/>
          <w:sz w:val="24"/>
        </w:rPr>
        <w:t>（5）如果修正后的投标价与开标时的唱标价不一致，则以两者间的高者进行价格排序。如果该投标人最终中标，则以两者间的低者作为中标价，与招标人签订合同。若投标人不承诺，其投标应被拒绝。</w:t>
      </w:r>
    </w:p>
    <w:p>
      <w:pPr>
        <w:spacing w:line="276" w:lineRule="auto"/>
        <w:ind w:firstLine="480" w:firstLineChars="200"/>
        <w:rPr>
          <w:rFonts w:ascii="宋体" w:hAnsi="宋体"/>
          <w:sz w:val="24"/>
        </w:rPr>
      </w:pPr>
      <w:r>
        <w:rPr>
          <w:rFonts w:hint="eastAsia" w:ascii="宋体" w:hAnsi="宋体"/>
          <w:sz w:val="24"/>
        </w:rPr>
        <w:t>3.6重大偏差</w:t>
      </w:r>
    </w:p>
    <w:p>
      <w:pPr>
        <w:spacing w:line="276" w:lineRule="auto"/>
        <w:ind w:firstLine="480" w:firstLineChars="200"/>
        <w:rPr>
          <w:rFonts w:ascii="宋体" w:hAnsi="宋体"/>
          <w:sz w:val="24"/>
        </w:rPr>
      </w:pPr>
      <w:r>
        <w:rPr>
          <w:rFonts w:hint="eastAsia" w:ascii="宋体" w:hAnsi="宋体"/>
          <w:sz w:val="24"/>
        </w:rPr>
        <w:t>投标文件有以下情况之一的属重大偏差，按废标处理：</w:t>
      </w:r>
    </w:p>
    <w:p>
      <w:pPr>
        <w:spacing w:line="276" w:lineRule="auto"/>
        <w:ind w:firstLine="480" w:firstLineChars="200"/>
        <w:rPr>
          <w:rFonts w:ascii="宋体" w:hAnsi="宋体"/>
          <w:sz w:val="24"/>
        </w:rPr>
      </w:pPr>
      <w:r>
        <w:rPr>
          <w:rFonts w:hint="eastAsia" w:ascii="宋体" w:hAnsi="宋体"/>
          <w:sz w:val="24"/>
        </w:rPr>
        <w:t>（1）未按招标文件规定对投标函、法定代表人授权委托书、投标报价表、物资描述表等签字、盖章的；</w:t>
      </w:r>
    </w:p>
    <w:p>
      <w:pPr>
        <w:spacing w:line="276" w:lineRule="auto"/>
        <w:ind w:firstLine="480" w:firstLineChars="200"/>
        <w:rPr>
          <w:rFonts w:ascii="宋体" w:hAnsi="宋体"/>
          <w:sz w:val="24"/>
        </w:rPr>
      </w:pPr>
      <w:r>
        <w:rPr>
          <w:rFonts w:hint="eastAsia" w:ascii="宋体" w:hAnsi="宋体"/>
          <w:sz w:val="24"/>
        </w:rPr>
        <w:t>（2）无法定代表人出具授权委托书的（适用于授权代理人签署投标文件的情况）；</w:t>
      </w:r>
    </w:p>
    <w:p>
      <w:pPr>
        <w:spacing w:line="276" w:lineRule="auto"/>
        <w:ind w:firstLine="480" w:firstLineChars="200"/>
        <w:rPr>
          <w:rFonts w:ascii="宋体" w:hAnsi="宋体"/>
          <w:sz w:val="24"/>
        </w:rPr>
      </w:pPr>
      <w:r>
        <w:rPr>
          <w:rFonts w:hint="eastAsia" w:ascii="宋体" w:hAnsi="宋体"/>
          <w:sz w:val="24"/>
        </w:rPr>
        <w:t>（3）未按招标文件要求提交投标保证金，或投标保证金额不足的；</w:t>
      </w:r>
    </w:p>
    <w:p>
      <w:pPr>
        <w:spacing w:line="276" w:lineRule="auto"/>
        <w:ind w:firstLine="480" w:firstLineChars="200"/>
        <w:rPr>
          <w:rFonts w:ascii="宋体" w:hAnsi="宋体"/>
          <w:sz w:val="24"/>
        </w:rPr>
      </w:pPr>
      <w:r>
        <w:rPr>
          <w:rFonts w:hint="eastAsia" w:ascii="宋体" w:hAnsi="宋体"/>
          <w:sz w:val="24"/>
        </w:rPr>
        <w:t>（4）投标人递交二份或多份内容不同的投标文件、或提供虚假资料、或串通投标的；</w:t>
      </w:r>
    </w:p>
    <w:p>
      <w:pPr>
        <w:spacing w:line="276" w:lineRule="auto"/>
        <w:ind w:firstLine="480" w:firstLineChars="200"/>
        <w:rPr>
          <w:rFonts w:ascii="宋体" w:hAnsi="宋体"/>
          <w:sz w:val="24"/>
        </w:rPr>
      </w:pPr>
      <w:r>
        <w:rPr>
          <w:rFonts w:hint="eastAsia" w:ascii="宋体" w:hAnsi="宋体"/>
          <w:sz w:val="24"/>
        </w:rPr>
        <w:t>（5）低于成本价竞标的或超过招标人可以接受的价格；</w:t>
      </w:r>
    </w:p>
    <w:p>
      <w:pPr>
        <w:spacing w:line="276" w:lineRule="auto"/>
        <w:ind w:firstLine="480" w:firstLineChars="200"/>
        <w:rPr>
          <w:rFonts w:ascii="宋体" w:hAnsi="宋体"/>
          <w:sz w:val="24"/>
        </w:rPr>
      </w:pPr>
      <w:r>
        <w:rPr>
          <w:rFonts w:hint="eastAsia" w:ascii="宋体" w:hAnsi="宋体"/>
          <w:sz w:val="24"/>
        </w:rPr>
        <w:t>（6）投标物资规格型号、主要技术指标和性能不满足招标文件技术要求的；</w:t>
      </w:r>
    </w:p>
    <w:p>
      <w:pPr>
        <w:spacing w:line="276" w:lineRule="auto"/>
        <w:ind w:firstLine="480" w:firstLineChars="200"/>
        <w:rPr>
          <w:rFonts w:ascii="宋体" w:hAnsi="宋体"/>
          <w:sz w:val="24"/>
        </w:rPr>
      </w:pPr>
      <w:r>
        <w:rPr>
          <w:rFonts w:hint="eastAsia" w:ascii="宋体" w:hAnsi="宋体"/>
          <w:sz w:val="24"/>
        </w:rPr>
        <w:t>（7）投标文件载明的货物包装方式、检验标准和方法等不符合招标文件的要求；</w:t>
      </w:r>
    </w:p>
    <w:p>
      <w:pPr>
        <w:spacing w:line="276" w:lineRule="auto"/>
        <w:ind w:firstLine="480" w:firstLineChars="200"/>
        <w:rPr>
          <w:rFonts w:ascii="宋体" w:hAnsi="宋体"/>
          <w:sz w:val="24"/>
        </w:rPr>
      </w:pPr>
      <w:r>
        <w:rPr>
          <w:rFonts w:hint="eastAsia" w:ascii="宋体" w:hAnsi="宋体"/>
          <w:sz w:val="24"/>
        </w:rPr>
        <w:t>（8）投标文件出现招标人不能接受的条款和要求的，如付款条件、或拒绝出具履约保证金或降低履约保证金金额的、减少或减轻投标人的责任和义务的；</w:t>
      </w:r>
    </w:p>
    <w:p>
      <w:pPr>
        <w:spacing w:line="276" w:lineRule="auto"/>
        <w:ind w:firstLine="480" w:firstLineChars="200"/>
        <w:rPr>
          <w:rFonts w:ascii="宋体" w:hAnsi="宋体"/>
          <w:sz w:val="24"/>
        </w:rPr>
      </w:pPr>
      <w:r>
        <w:rPr>
          <w:rFonts w:hint="eastAsia" w:ascii="宋体" w:hAnsi="宋体"/>
          <w:sz w:val="24"/>
        </w:rPr>
        <w:t>（9）投标文件中出现重大漏项的；</w:t>
      </w:r>
    </w:p>
    <w:p>
      <w:pPr>
        <w:spacing w:line="276" w:lineRule="auto"/>
        <w:ind w:firstLine="480" w:firstLineChars="200"/>
        <w:rPr>
          <w:rFonts w:ascii="宋体" w:hAnsi="宋体"/>
          <w:sz w:val="24"/>
        </w:rPr>
      </w:pPr>
      <w:r>
        <w:rPr>
          <w:rFonts w:hint="eastAsia" w:ascii="宋体" w:hAnsi="宋体"/>
          <w:sz w:val="24"/>
        </w:rPr>
        <w:t>（10）不接受报价修订和评标价的评定的；</w:t>
      </w:r>
    </w:p>
    <w:p>
      <w:pPr>
        <w:spacing w:line="276" w:lineRule="auto"/>
        <w:ind w:firstLine="480" w:firstLineChars="200"/>
        <w:rPr>
          <w:rFonts w:ascii="宋体" w:hAnsi="宋体"/>
          <w:sz w:val="24"/>
        </w:rPr>
      </w:pPr>
      <w:r>
        <w:rPr>
          <w:rFonts w:hint="eastAsia" w:ascii="宋体" w:hAnsi="宋体"/>
          <w:sz w:val="24"/>
        </w:rPr>
        <w:t>（11）招标文件规定可以废标的其他情况。</w:t>
      </w:r>
    </w:p>
    <w:p>
      <w:pPr>
        <w:spacing w:line="276" w:lineRule="auto"/>
        <w:ind w:firstLine="480" w:firstLineChars="200"/>
        <w:rPr>
          <w:rFonts w:ascii="宋体" w:hAnsi="宋体"/>
          <w:sz w:val="24"/>
        </w:rPr>
      </w:pPr>
      <w:bookmarkStart w:id="456" w:name="_Toc231982870"/>
      <w:r>
        <w:rPr>
          <w:rFonts w:hint="eastAsia" w:ascii="宋体" w:hAnsi="宋体"/>
          <w:sz w:val="24"/>
        </w:rPr>
        <w:t>3.7投标文件的澄清和补正</w:t>
      </w:r>
      <w:bookmarkEnd w:id="456"/>
    </w:p>
    <w:p>
      <w:pPr>
        <w:spacing w:line="276" w:lineRule="auto"/>
        <w:ind w:firstLine="480" w:firstLineChars="200"/>
        <w:rPr>
          <w:rFonts w:ascii="宋体" w:hAnsi="宋体"/>
          <w:sz w:val="24"/>
        </w:rPr>
      </w:pPr>
      <w:r>
        <w:rPr>
          <w:rFonts w:hint="eastAsia" w:ascii="宋体" w:hAnsi="宋体"/>
          <w:sz w:val="24"/>
        </w:rPr>
        <w:t>3.7.1在评标过程中，评标委员会可以书面形式要求投标人对所提交的投标文件中不明确的内容进行书面澄清或说明，或者对细微偏差进行补正。评标委员会不接受投标人主动提出的澄清、说明或补正。</w:t>
      </w:r>
    </w:p>
    <w:p>
      <w:pPr>
        <w:spacing w:line="276" w:lineRule="auto"/>
        <w:ind w:firstLine="480" w:firstLineChars="200"/>
        <w:rPr>
          <w:rFonts w:ascii="宋体" w:hAnsi="宋体"/>
          <w:sz w:val="24"/>
        </w:rPr>
      </w:pPr>
      <w:r>
        <w:rPr>
          <w:rFonts w:hint="eastAsia" w:ascii="宋体" w:hAnsi="宋体"/>
          <w:sz w:val="24"/>
        </w:rPr>
        <w:t>3.7.2澄清、说明和补正不得改变投标文件的实质性内容（算术性错误修正的除外）。投标人的书面澄清、说明和补正属于投标文件的组成部分。</w:t>
      </w:r>
    </w:p>
    <w:p>
      <w:pPr>
        <w:spacing w:line="276" w:lineRule="auto"/>
        <w:ind w:firstLine="480" w:firstLineChars="200"/>
        <w:rPr>
          <w:rFonts w:ascii="宋体" w:hAnsi="宋体"/>
          <w:sz w:val="24"/>
        </w:rPr>
      </w:pPr>
      <w:r>
        <w:rPr>
          <w:rFonts w:hint="eastAsia" w:ascii="宋体" w:hAnsi="宋体"/>
          <w:sz w:val="24"/>
        </w:rPr>
        <w:t>3.7.3评标委员会对投标人提交的澄清、说明或补正有疑问的，可以要求投标人进一步澄清、说明或补正。</w:t>
      </w:r>
    </w:p>
    <w:p>
      <w:pPr>
        <w:spacing w:line="276" w:lineRule="auto"/>
        <w:ind w:firstLine="480" w:firstLineChars="200"/>
        <w:rPr>
          <w:rFonts w:ascii="宋体" w:hAnsi="宋体"/>
          <w:sz w:val="24"/>
        </w:rPr>
      </w:pPr>
      <w:r>
        <w:rPr>
          <w:rFonts w:hint="eastAsia" w:ascii="宋体" w:hAnsi="宋体"/>
          <w:sz w:val="24"/>
        </w:rPr>
        <w:t>3.7.4评标委员会有权要求有疑问的投标人提供所需投标文件的原件，不能提供完整原件的投标文件按废标处理。</w:t>
      </w:r>
    </w:p>
    <w:p>
      <w:pPr>
        <w:spacing w:line="276" w:lineRule="auto"/>
        <w:ind w:firstLine="480" w:firstLineChars="200"/>
        <w:rPr>
          <w:rFonts w:ascii="宋体" w:hAnsi="宋体"/>
          <w:sz w:val="24"/>
        </w:rPr>
      </w:pPr>
      <w:bookmarkStart w:id="457" w:name="_Toc231982872"/>
      <w:r>
        <w:rPr>
          <w:rFonts w:hint="eastAsia" w:ascii="宋体" w:hAnsi="宋体"/>
          <w:sz w:val="24"/>
        </w:rPr>
        <w:t>3.8评标结果</w:t>
      </w:r>
      <w:bookmarkEnd w:id="457"/>
    </w:p>
    <w:p>
      <w:pPr>
        <w:spacing w:line="276" w:lineRule="auto"/>
        <w:ind w:firstLine="480" w:firstLineChars="200"/>
        <w:rPr>
          <w:rFonts w:ascii="宋体" w:hAnsi="宋体"/>
          <w:sz w:val="24"/>
        </w:rPr>
      </w:pPr>
      <w:bookmarkStart w:id="458" w:name="_Toc231873582"/>
      <w:r>
        <w:rPr>
          <w:rFonts w:hint="eastAsia" w:ascii="宋体" w:hAnsi="宋体"/>
          <w:sz w:val="24"/>
        </w:rPr>
        <w:t>3.8.1推荐中标候选人：</w:t>
      </w:r>
      <w:bookmarkEnd w:id="458"/>
      <w:r>
        <w:rPr>
          <w:rFonts w:hint="eastAsia" w:ascii="宋体" w:hAnsi="宋体"/>
          <w:sz w:val="24"/>
        </w:rPr>
        <w:t>评标委员会对通过资格、商务、技术、报价评审的投标人，按照经评审的投标报价由低到高的顺序，推荐排序前1-3名的投标人为中标候选人。</w:t>
      </w:r>
      <w:bookmarkStart w:id="459" w:name="_Toc231873583"/>
    </w:p>
    <w:bookmarkEnd w:id="459"/>
    <w:p>
      <w:pPr>
        <w:spacing w:line="276" w:lineRule="auto"/>
        <w:ind w:firstLine="480" w:firstLineChars="200"/>
        <w:rPr>
          <w:rFonts w:ascii="宋体" w:hAnsi="宋体"/>
          <w:sz w:val="24"/>
        </w:rPr>
      </w:pPr>
      <w:bookmarkStart w:id="460" w:name="_Toc231873584"/>
      <w:r>
        <w:rPr>
          <w:rFonts w:hint="eastAsia" w:ascii="宋体" w:hAnsi="宋体"/>
          <w:sz w:val="24"/>
        </w:rPr>
        <w:t>3.8.2完成评标报告：评标委员会按内部规定编制评标报告，对于需要向中标候选人进一步澄清、说明、补正的事宜应纳入评标报告。评标报告由全体评标委员共同签字确认。</w:t>
      </w:r>
      <w:bookmarkEnd w:id="460"/>
    </w:p>
    <w:p>
      <w:pPr>
        <w:spacing w:line="276" w:lineRule="auto"/>
        <w:ind w:firstLine="480" w:firstLineChars="200"/>
        <w:rPr>
          <w:rFonts w:ascii="宋体" w:hAnsi="宋体"/>
          <w:sz w:val="24"/>
        </w:rPr>
      </w:pPr>
      <w:bookmarkStart w:id="461" w:name="_Toc231873585"/>
      <w:r>
        <w:rPr>
          <w:rFonts w:hint="eastAsia" w:ascii="宋体" w:hAnsi="宋体"/>
          <w:sz w:val="24"/>
        </w:rPr>
        <w:t>3.8.3中标人的确定：招标人原则上确定被推荐的中标候选人为中标人。如果候选人放弃中标或因不可抗力提出放弃中标的、不按招标文件要求提交履约保证金、或被查实存在影响中标结果的违法行为等情形，不符合中标条件的，招标人启动备选供应商或重新招标。</w:t>
      </w:r>
      <w:bookmarkEnd w:id="461"/>
    </w:p>
    <w:p>
      <w:pPr>
        <w:pStyle w:val="48"/>
        <w:tabs>
          <w:tab w:val="left" w:pos="284"/>
        </w:tabs>
        <w:spacing w:beforeLines="100" w:line="276" w:lineRule="auto"/>
        <w:ind w:firstLine="0" w:firstLineChars="0"/>
        <w:outlineLvl w:val="1"/>
        <w:rPr>
          <w:rFonts w:ascii="黑体" w:hAnsi="黑体" w:eastAsia="黑体"/>
          <w:sz w:val="28"/>
          <w:szCs w:val="28"/>
        </w:rPr>
      </w:pPr>
      <w:bookmarkStart w:id="462" w:name="_Toc436224136"/>
      <w:bookmarkStart w:id="463" w:name="_Toc363638003"/>
      <w:bookmarkStart w:id="464" w:name="_Toc331195452"/>
      <w:bookmarkStart w:id="465" w:name="_Toc2986"/>
      <w:bookmarkStart w:id="466" w:name="_Toc12085"/>
      <w:bookmarkStart w:id="467" w:name="_Toc238552259"/>
      <w:bookmarkStart w:id="468" w:name="_Toc238797614"/>
      <w:bookmarkStart w:id="469" w:name="_Toc262740103"/>
      <w:bookmarkStart w:id="470" w:name="_Toc440491987"/>
      <w:bookmarkStart w:id="471" w:name="_Toc321997890"/>
      <w:bookmarkStart w:id="472" w:name="_Toc366770105"/>
      <w:r>
        <w:rPr>
          <w:rFonts w:hint="eastAsia" w:ascii="黑体" w:hAnsi="黑体" w:eastAsia="黑体"/>
          <w:sz w:val="28"/>
          <w:szCs w:val="28"/>
        </w:rPr>
        <w:t>四、</w:t>
      </w:r>
      <w:r>
        <w:rPr>
          <w:rFonts w:ascii="黑体" w:hAnsi="黑体" w:eastAsia="黑体"/>
          <w:sz w:val="28"/>
          <w:szCs w:val="28"/>
        </w:rPr>
        <w:t>评标工作纪律与保密要求</w:t>
      </w:r>
      <w:bookmarkEnd w:id="462"/>
      <w:bookmarkEnd w:id="463"/>
      <w:bookmarkEnd w:id="464"/>
      <w:bookmarkEnd w:id="465"/>
      <w:bookmarkEnd w:id="466"/>
      <w:bookmarkEnd w:id="467"/>
      <w:bookmarkEnd w:id="468"/>
      <w:bookmarkEnd w:id="469"/>
      <w:bookmarkEnd w:id="470"/>
      <w:bookmarkEnd w:id="471"/>
      <w:bookmarkEnd w:id="472"/>
    </w:p>
    <w:p>
      <w:pPr>
        <w:spacing w:line="276" w:lineRule="auto"/>
        <w:ind w:firstLine="480" w:firstLineChars="200"/>
        <w:rPr>
          <w:rFonts w:ascii="宋体" w:hAnsi="宋体"/>
          <w:sz w:val="24"/>
        </w:rPr>
      </w:pPr>
      <w:bookmarkStart w:id="473" w:name="_Toc231873591"/>
      <w:bookmarkStart w:id="474" w:name="_Toc231982875"/>
      <w:r>
        <w:rPr>
          <w:rFonts w:hint="eastAsia" w:ascii="宋体" w:hAnsi="宋体"/>
          <w:sz w:val="24"/>
        </w:rPr>
        <w:t>4.1评标工作应严格按照本评标办法，遵循公平、公正、科学、择优的原则进行。</w:t>
      </w:r>
      <w:bookmarkEnd w:id="473"/>
      <w:bookmarkEnd w:id="474"/>
    </w:p>
    <w:p>
      <w:pPr>
        <w:spacing w:line="276" w:lineRule="auto"/>
        <w:ind w:firstLine="480" w:firstLineChars="200"/>
        <w:rPr>
          <w:rFonts w:ascii="宋体" w:hAnsi="宋体"/>
          <w:sz w:val="24"/>
        </w:rPr>
      </w:pPr>
      <w:bookmarkStart w:id="475" w:name="_Toc231873592"/>
      <w:bookmarkStart w:id="476" w:name="_Toc231982876"/>
      <w:r>
        <w:rPr>
          <w:rFonts w:hint="eastAsia" w:ascii="宋体" w:hAnsi="宋体"/>
          <w:sz w:val="24"/>
        </w:rPr>
        <w:t>4.2评标委员会成员有下列情形之一的，应当主动提出回避：</w:t>
      </w:r>
      <w:bookmarkEnd w:id="475"/>
      <w:bookmarkEnd w:id="476"/>
    </w:p>
    <w:p>
      <w:pPr>
        <w:spacing w:line="276" w:lineRule="auto"/>
        <w:ind w:firstLine="480" w:firstLineChars="200"/>
        <w:rPr>
          <w:rFonts w:ascii="宋体" w:hAnsi="宋体"/>
          <w:sz w:val="24"/>
        </w:rPr>
      </w:pPr>
      <w:bookmarkStart w:id="477" w:name="_Toc231982877"/>
      <w:bookmarkStart w:id="478" w:name="_Toc306891640"/>
      <w:r>
        <w:rPr>
          <w:rFonts w:hint="eastAsia" w:ascii="宋体" w:hAnsi="宋体"/>
          <w:sz w:val="24"/>
        </w:rPr>
        <w:t>（1）投标人或者投标人主要负责人的近亲属；</w:t>
      </w:r>
      <w:bookmarkEnd w:id="477"/>
      <w:bookmarkEnd w:id="478"/>
    </w:p>
    <w:p>
      <w:pPr>
        <w:spacing w:line="276" w:lineRule="auto"/>
        <w:ind w:firstLine="480" w:firstLineChars="200"/>
        <w:rPr>
          <w:rFonts w:ascii="宋体" w:hAnsi="宋体"/>
          <w:sz w:val="24"/>
        </w:rPr>
      </w:pPr>
      <w:bookmarkStart w:id="479" w:name="_Toc231982878"/>
      <w:r>
        <w:rPr>
          <w:rFonts w:hint="eastAsia" w:ascii="宋体" w:hAnsi="宋体"/>
          <w:sz w:val="24"/>
        </w:rPr>
        <w:t>（2）与投标人有经济利益关系，可能影响对投标公正评审的；</w:t>
      </w:r>
      <w:bookmarkEnd w:id="479"/>
    </w:p>
    <w:p>
      <w:pPr>
        <w:spacing w:line="276" w:lineRule="auto"/>
        <w:ind w:firstLine="480" w:firstLineChars="200"/>
        <w:rPr>
          <w:rFonts w:ascii="宋体" w:hAnsi="宋体"/>
          <w:sz w:val="24"/>
        </w:rPr>
      </w:pPr>
      <w:bookmarkStart w:id="480" w:name="_Toc231982879"/>
      <w:r>
        <w:rPr>
          <w:rFonts w:hint="eastAsia" w:ascii="宋体" w:hAnsi="宋体"/>
          <w:sz w:val="24"/>
        </w:rPr>
        <w:t>（3）曾因在招标、评标以及其他与招标投标有关活动中从事违法行为而受过行政或刑事处罚的。</w:t>
      </w:r>
      <w:bookmarkEnd w:id="480"/>
    </w:p>
    <w:p>
      <w:pPr>
        <w:spacing w:line="276" w:lineRule="auto"/>
        <w:ind w:firstLine="480" w:firstLineChars="200"/>
        <w:rPr>
          <w:rFonts w:ascii="宋体" w:hAnsi="宋体"/>
          <w:sz w:val="24"/>
        </w:rPr>
      </w:pPr>
      <w:bookmarkStart w:id="481" w:name="_Toc231982880"/>
      <w:bookmarkStart w:id="482" w:name="_Toc231873593"/>
      <w:r>
        <w:rPr>
          <w:rFonts w:hint="eastAsia" w:ascii="宋体" w:hAnsi="宋体"/>
          <w:sz w:val="24"/>
        </w:rPr>
        <w:t>4.3公开开标后，直至宣布授予合同为止，评标人员必须严格遵守保密规定，凡属于审查、澄清、评价的有关资料以及授予合同有关的信息，都不应向投标人或与该评标过程无关的其他人员泄漏。</w:t>
      </w:r>
      <w:bookmarkEnd w:id="481"/>
      <w:bookmarkEnd w:id="482"/>
    </w:p>
    <w:p>
      <w:pPr>
        <w:spacing w:line="276" w:lineRule="auto"/>
        <w:ind w:firstLine="480" w:firstLineChars="200"/>
        <w:rPr>
          <w:rFonts w:ascii="宋体" w:hAnsi="宋体"/>
          <w:sz w:val="24"/>
        </w:rPr>
      </w:pPr>
      <w:bookmarkStart w:id="483" w:name="_Toc231982881"/>
      <w:bookmarkStart w:id="484" w:name="_Toc231873594"/>
      <w:r>
        <w:rPr>
          <w:rFonts w:hint="eastAsia" w:ascii="宋体" w:hAnsi="宋体"/>
          <w:sz w:val="24"/>
        </w:rPr>
        <w:t>4.4</w:t>
      </w:r>
      <w:bookmarkEnd w:id="483"/>
      <w:bookmarkEnd w:id="484"/>
      <w:bookmarkStart w:id="485" w:name="_Toc231982882"/>
      <w:bookmarkStart w:id="486" w:name="_Toc231873595"/>
      <w:r>
        <w:rPr>
          <w:rFonts w:hint="eastAsia" w:ascii="宋体" w:hAnsi="宋体"/>
          <w:sz w:val="24"/>
        </w:rPr>
        <w:t>评标工作结束后，与评标工作有关的所有资料包括投标函、评标资料、评标办法、演算草稿纸和数据信息记录等必须全部交回存档。</w:t>
      </w:r>
      <w:bookmarkEnd w:id="485"/>
      <w:bookmarkEnd w:id="486"/>
    </w:p>
    <w:p>
      <w:pPr>
        <w:spacing w:line="276" w:lineRule="auto"/>
        <w:ind w:firstLine="480" w:firstLineChars="200"/>
        <w:rPr>
          <w:rFonts w:ascii="宋体" w:hAnsi="宋体"/>
          <w:sz w:val="24"/>
        </w:rPr>
      </w:pPr>
      <w:r>
        <w:rPr>
          <w:rFonts w:hint="eastAsia" w:ascii="宋体" w:hAnsi="宋体"/>
          <w:sz w:val="24"/>
        </w:rPr>
        <w:br w:type="page"/>
      </w:r>
    </w:p>
    <w:p>
      <w:pPr>
        <w:pStyle w:val="48"/>
        <w:tabs>
          <w:tab w:val="left" w:pos="993"/>
        </w:tabs>
        <w:spacing w:beforeLines="100" w:afterLines="100" w:line="300" w:lineRule="auto"/>
        <w:ind w:firstLine="0" w:firstLineChars="0"/>
        <w:jc w:val="center"/>
        <w:outlineLvl w:val="0"/>
        <w:rPr>
          <w:rFonts w:ascii="黑体" w:hAnsi="黑体" w:eastAsia="黑体" w:cs="宋体"/>
          <w:b/>
          <w:bCs/>
          <w:sz w:val="52"/>
          <w:szCs w:val="52"/>
        </w:rPr>
      </w:pPr>
      <w:bookmarkStart w:id="487" w:name="_Toc21011"/>
      <w:r>
        <w:rPr>
          <w:rFonts w:hint="eastAsia" w:ascii="黑体" w:hAnsi="黑体" w:eastAsia="黑体" w:cs="宋体"/>
          <w:b/>
          <w:bCs/>
          <w:sz w:val="52"/>
          <w:szCs w:val="52"/>
          <w:lang w:val="zh-CN"/>
        </w:rPr>
        <w:t>第六部分</w:t>
      </w:r>
      <w:r>
        <w:rPr>
          <w:rFonts w:hint="eastAsia" w:ascii="黑体" w:hAnsi="黑体" w:eastAsia="黑体" w:cs="宋体"/>
          <w:b/>
          <w:bCs/>
          <w:sz w:val="52"/>
          <w:szCs w:val="52"/>
        </w:rPr>
        <w:t xml:space="preserve">  投标文件格式</w:t>
      </w:r>
      <w:bookmarkEnd w:id="409"/>
      <w:bookmarkEnd w:id="410"/>
      <w:bookmarkEnd w:id="411"/>
      <w:bookmarkEnd w:id="412"/>
      <w:bookmarkEnd w:id="413"/>
      <w:bookmarkEnd w:id="414"/>
      <w:bookmarkEnd w:id="415"/>
      <w:bookmarkEnd w:id="416"/>
      <w:bookmarkEnd w:id="417"/>
      <w:bookmarkEnd w:id="487"/>
    </w:p>
    <w:p>
      <w:pPr>
        <w:pStyle w:val="48"/>
        <w:tabs>
          <w:tab w:val="left" w:pos="993"/>
        </w:tabs>
        <w:spacing w:beforeLines="100" w:afterLines="100" w:line="300" w:lineRule="auto"/>
        <w:ind w:firstLine="0" w:firstLineChars="0"/>
        <w:jc w:val="center"/>
        <w:rPr>
          <w:rFonts w:ascii="黑体" w:hAnsi="宋体" w:eastAsia="黑体"/>
          <w:sz w:val="32"/>
          <w:szCs w:val="32"/>
        </w:rPr>
      </w:pPr>
    </w:p>
    <w:p>
      <w:pPr>
        <w:pStyle w:val="48"/>
        <w:tabs>
          <w:tab w:val="left" w:pos="993"/>
        </w:tabs>
        <w:spacing w:beforeLines="100" w:afterLines="100" w:line="300" w:lineRule="auto"/>
        <w:ind w:firstLine="0" w:firstLineChars="0"/>
        <w:jc w:val="center"/>
        <w:rPr>
          <w:rFonts w:ascii="黑体" w:eastAsia="黑体"/>
          <w:b/>
          <w:sz w:val="44"/>
          <w:szCs w:val="44"/>
        </w:rPr>
      </w:pPr>
      <w:r>
        <w:rPr>
          <w:rFonts w:hint="eastAsia" w:ascii="黑体" w:hAnsi="宋体" w:eastAsia="黑体"/>
          <w:sz w:val="32"/>
          <w:szCs w:val="32"/>
        </w:rPr>
        <w:t>中铁城建集团第一工程有限公司</w:t>
      </w:r>
      <w:r>
        <w:rPr>
          <w:rFonts w:hint="eastAsia" w:ascii="黑体" w:hAnsi="宋体" w:eastAsia="黑体" w:cs="仿宋_GB2312"/>
          <w:sz w:val="32"/>
          <w:szCs w:val="32"/>
          <w:lang w:val="zh-CN"/>
        </w:rPr>
        <w:t>物资（</w:t>
      </w:r>
      <w:r>
        <w:rPr>
          <w:rFonts w:hint="eastAsia" w:ascii="黑体" w:hAnsi="宋体" w:eastAsia="黑体"/>
          <w:sz w:val="32"/>
          <w:szCs w:val="32"/>
          <w:u w:val="single"/>
        </w:rPr>
        <w:t>电缆</w:t>
      </w:r>
      <w:r>
        <w:rPr>
          <w:rFonts w:hint="eastAsia" w:ascii="黑体" w:hAnsi="宋体" w:eastAsia="黑体"/>
          <w:sz w:val="32"/>
          <w:szCs w:val="32"/>
        </w:rPr>
        <w:t>）采购</w:t>
      </w:r>
    </w:p>
    <w:p>
      <w:pPr>
        <w:spacing w:line="300" w:lineRule="auto"/>
        <w:jc w:val="center"/>
        <w:rPr>
          <w:rFonts w:ascii="宋体" w:hAnsi="宋体"/>
          <w:sz w:val="30"/>
          <w:szCs w:val="30"/>
        </w:rPr>
      </w:pPr>
    </w:p>
    <w:p>
      <w:pPr>
        <w:spacing w:line="300" w:lineRule="auto"/>
        <w:jc w:val="center"/>
        <w:rPr>
          <w:rFonts w:hint="default" w:ascii="黑体" w:hAnsi="宋体" w:eastAsia="黑体"/>
          <w:sz w:val="30"/>
          <w:szCs w:val="30"/>
          <w:u w:val="single"/>
          <w:lang w:val="en-US" w:eastAsia="zh-CN"/>
        </w:rPr>
      </w:pPr>
      <w:r>
        <w:rPr>
          <w:rFonts w:hint="eastAsia" w:ascii="黑体" w:hAnsi="宋体" w:eastAsia="黑体"/>
          <w:sz w:val="30"/>
          <w:szCs w:val="30"/>
        </w:rPr>
        <w:t>招标编号:</w:t>
      </w:r>
      <w:r>
        <w:rPr>
          <w:rFonts w:hint="eastAsia" w:ascii="黑体" w:hAnsi="宋体" w:eastAsia="黑体"/>
          <w:sz w:val="30"/>
          <w:szCs w:val="30"/>
          <w:u w:val="single"/>
        </w:rPr>
        <w:t>CRUCG1-ZCGJGC-DXDLCG-20190</w:t>
      </w:r>
      <w:r>
        <w:rPr>
          <w:rFonts w:hint="eastAsia" w:ascii="黑体" w:hAnsi="宋体" w:eastAsia="黑体"/>
          <w:sz w:val="30"/>
          <w:szCs w:val="30"/>
          <w:u w:val="single"/>
          <w:lang w:val="en-US" w:eastAsia="zh-CN"/>
        </w:rPr>
        <w:t>910</w:t>
      </w:r>
    </w:p>
    <w:p>
      <w:pPr>
        <w:spacing w:line="300" w:lineRule="auto"/>
        <w:jc w:val="center"/>
        <w:rPr>
          <w:rFonts w:ascii="宋体" w:hAnsi="宋体"/>
          <w:b/>
          <w:sz w:val="44"/>
          <w:szCs w:val="44"/>
        </w:rPr>
      </w:pPr>
    </w:p>
    <w:p>
      <w:pPr>
        <w:spacing w:line="300" w:lineRule="auto"/>
        <w:jc w:val="center"/>
        <w:rPr>
          <w:rFonts w:ascii="宋体" w:hAnsi="宋体"/>
          <w:b/>
          <w:sz w:val="44"/>
          <w:szCs w:val="44"/>
        </w:rPr>
      </w:pPr>
    </w:p>
    <w:p>
      <w:pPr>
        <w:spacing w:line="300" w:lineRule="auto"/>
        <w:jc w:val="center"/>
        <w:rPr>
          <w:rFonts w:ascii="宋体" w:hAnsi="宋体"/>
          <w:b/>
          <w:sz w:val="96"/>
          <w:szCs w:val="96"/>
        </w:rPr>
      </w:pPr>
      <w:r>
        <w:rPr>
          <w:rFonts w:ascii="宋体" w:hAnsi="宋体"/>
          <w:b/>
          <w:sz w:val="96"/>
          <w:szCs w:val="96"/>
        </w:rPr>
        <w:t>投标文件</w:t>
      </w:r>
    </w:p>
    <w:p>
      <w:pPr>
        <w:spacing w:line="300" w:lineRule="auto"/>
        <w:jc w:val="center"/>
        <w:rPr>
          <w:rFonts w:ascii="黑体" w:hAnsi="宋体" w:eastAsia="黑体"/>
          <w:sz w:val="32"/>
          <w:szCs w:val="32"/>
        </w:rPr>
      </w:pPr>
      <w:r>
        <w:rPr>
          <w:rFonts w:hint="eastAsia" w:ascii="黑体" w:hAnsi="宋体" w:eastAsia="黑体"/>
          <w:sz w:val="32"/>
          <w:szCs w:val="32"/>
        </w:rPr>
        <w:t>（正/副本）</w:t>
      </w: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jc w:val="center"/>
        <w:rPr>
          <w:rFonts w:ascii="宋体" w:hAnsi="宋体"/>
          <w:sz w:val="28"/>
          <w:szCs w:val="28"/>
        </w:rPr>
      </w:pPr>
    </w:p>
    <w:p>
      <w:pPr>
        <w:spacing w:line="300" w:lineRule="auto"/>
        <w:rPr>
          <w:rFonts w:ascii="宋体" w:hAnsi="宋体"/>
          <w:sz w:val="28"/>
          <w:szCs w:val="28"/>
        </w:rPr>
      </w:pPr>
    </w:p>
    <w:p>
      <w:pPr>
        <w:spacing w:line="300" w:lineRule="auto"/>
        <w:ind w:firstLine="700" w:firstLineChars="250"/>
        <w:jc w:val="left"/>
        <w:rPr>
          <w:rFonts w:ascii="黑体" w:hAnsi="宋体" w:eastAsia="黑体"/>
          <w:sz w:val="28"/>
          <w:szCs w:val="28"/>
          <w:u w:val="single"/>
        </w:rPr>
      </w:pPr>
      <w:r>
        <w:rPr>
          <w:rFonts w:hint="eastAsia" w:ascii="黑体" w:hAnsi="宋体" w:eastAsia="黑体"/>
          <w:sz w:val="28"/>
          <w:szCs w:val="28"/>
        </w:rPr>
        <w:t>投标人（公章）：</w:t>
      </w:r>
    </w:p>
    <w:p>
      <w:pPr>
        <w:spacing w:line="300" w:lineRule="auto"/>
        <w:jc w:val="left"/>
        <w:rPr>
          <w:rFonts w:ascii="黑体" w:hAnsi="宋体" w:eastAsia="黑体"/>
          <w:sz w:val="28"/>
          <w:szCs w:val="28"/>
        </w:rPr>
      </w:pPr>
    </w:p>
    <w:p>
      <w:pPr>
        <w:spacing w:line="300" w:lineRule="auto"/>
        <w:ind w:firstLine="700" w:firstLineChars="250"/>
        <w:jc w:val="left"/>
        <w:rPr>
          <w:rFonts w:ascii="黑体" w:hAnsi="宋体" w:eastAsia="黑体"/>
          <w:sz w:val="28"/>
          <w:szCs w:val="28"/>
        </w:rPr>
      </w:pPr>
      <w:r>
        <w:rPr>
          <w:rFonts w:hint="eastAsia" w:ascii="黑体" w:hAnsi="宋体" w:eastAsia="黑体"/>
          <w:sz w:val="28"/>
          <w:szCs w:val="28"/>
        </w:rPr>
        <w:t>法定代表人或其委托代理人（签字）：</w:t>
      </w:r>
    </w:p>
    <w:p>
      <w:pPr>
        <w:spacing w:line="300" w:lineRule="auto"/>
        <w:rPr>
          <w:rFonts w:ascii="黑体" w:hAnsi="宋体" w:eastAsia="黑体"/>
          <w:sz w:val="28"/>
          <w:szCs w:val="28"/>
          <w:u w:val="single"/>
        </w:rPr>
      </w:pPr>
    </w:p>
    <w:p>
      <w:pPr>
        <w:spacing w:line="300" w:lineRule="auto"/>
        <w:rPr>
          <w:rFonts w:ascii="黑体" w:hAnsi="宋体" w:eastAsia="黑体"/>
          <w:sz w:val="28"/>
          <w:szCs w:val="28"/>
          <w:u w:val="single"/>
        </w:rPr>
      </w:pPr>
    </w:p>
    <w:p>
      <w:pPr>
        <w:spacing w:line="300" w:lineRule="auto"/>
        <w:ind w:firstLine="2800" w:firstLineChars="1000"/>
        <w:rPr>
          <w:rFonts w:ascii="黑体" w:hAnsi="宋体" w:eastAsia="黑体"/>
          <w:sz w:val="28"/>
          <w:szCs w:val="28"/>
        </w:rPr>
        <w:sectPr>
          <w:headerReference r:id="rId20" w:type="default"/>
          <w:footerReference r:id="rId21" w:type="default"/>
          <w:pgSz w:w="11907" w:h="16840"/>
          <w:pgMar w:top="1417" w:right="1474" w:bottom="1417" w:left="1588" w:header="851" w:footer="850" w:gutter="0"/>
          <w:cols w:space="0" w:num="1"/>
          <w:docGrid w:linePitch="312" w:charSpace="0"/>
        </w:sectPr>
      </w:pPr>
      <w:r>
        <w:rPr>
          <w:rFonts w:hint="eastAsia" w:ascii="黑体" w:hAnsi="宋体" w:eastAsia="黑体"/>
          <w:sz w:val="28"/>
          <w:szCs w:val="28"/>
        </w:rPr>
        <w:t>______年___月___日</w:t>
      </w:r>
    </w:p>
    <w:p>
      <w:pPr>
        <w:pStyle w:val="48"/>
        <w:tabs>
          <w:tab w:val="left" w:pos="284"/>
        </w:tabs>
        <w:spacing w:afterLines="50" w:line="0" w:lineRule="atLeast"/>
        <w:ind w:firstLine="0" w:firstLineChars="0"/>
        <w:outlineLvl w:val="1"/>
        <w:rPr>
          <w:rFonts w:ascii="宋体" w:hAnsi="宋体" w:cs="宋体"/>
          <w:sz w:val="22"/>
          <w:szCs w:val="22"/>
        </w:rPr>
      </w:pPr>
      <w:bookmarkStart w:id="488" w:name="_Toc152045788"/>
      <w:bookmarkStart w:id="489" w:name="_Toc436224143"/>
      <w:bookmarkStart w:id="490" w:name="_Toc9763"/>
      <w:bookmarkStart w:id="491" w:name="_Toc238552300"/>
      <w:bookmarkStart w:id="492" w:name="_Toc366770115"/>
      <w:bookmarkStart w:id="493" w:name="_Toc238797662"/>
      <w:bookmarkStart w:id="494" w:name="_Toc152042577"/>
      <w:bookmarkStart w:id="495" w:name="_Toc331195462"/>
      <w:bookmarkStart w:id="496" w:name="_Toc363638013"/>
      <w:bookmarkStart w:id="497" w:name="_Toc144974857"/>
      <w:bookmarkStart w:id="498" w:name="_Toc440492001"/>
      <w:bookmarkStart w:id="499" w:name="_Toc321997906"/>
      <w:bookmarkStart w:id="500" w:name="_Toc262740153"/>
      <w:r>
        <w:rPr>
          <w:rFonts w:hint="eastAsia" w:ascii="宋体" w:hAnsi="宋体" w:cs="宋体"/>
          <w:sz w:val="22"/>
          <w:szCs w:val="22"/>
        </w:rPr>
        <w:t>附录1</w:t>
      </w:r>
    </w:p>
    <w:p>
      <w:pPr>
        <w:pStyle w:val="48"/>
        <w:tabs>
          <w:tab w:val="left" w:pos="284"/>
        </w:tabs>
        <w:spacing w:beforeLines="100" w:afterLines="50" w:line="300" w:lineRule="auto"/>
        <w:ind w:firstLine="0" w:firstLineChars="0"/>
        <w:jc w:val="center"/>
        <w:outlineLvl w:val="1"/>
        <w:rPr>
          <w:rFonts w:ascii="黑体" w:hAnsi="黑体" w:eastAsia="黑体"/>
          <w:sz w:val="28"/>
          <w:szCs w:val="28"/>
        </w:rPr>
      </w:pPr>
      <w:r>
        <w:rPr>
          <w:rFonts w:ascii="黑体" w:hAnsi="黑体" w:eastAsia="黑体"/>
          <w:sz w:val="28"/>
          <w:szCs w:val="28"/>
        </w:rPr>
        <w:t>投标函</w:t>
      </w:r>
      <w:bookmarkEnd w:id="488"/>
      <w:bookmarkEnd w:id="489"/>
      <w:bookmarkEnd w:id="490"/>
      <w:bookmarkEnd w:id="491"/>
      <w:bookmarkEnd w:id="492"/>
      <w:bookmarkEnd w:id="493"/>
      <w:bookmarkEnd w:id="494"/>
      <w:bookmarkEnd w:id="495"/>
      <w:bookmarkEnd w:id="496"/>
      <w:bookmarkEnd w:id="497"/>
      <w:bookmarkEnd w:id="498"/>
      <w:bookmarkEnd w:id="499"/>
      <w:bookmarkEnd w:id="500"/>
    </w:p>
    <w:p>
      <w:pPr>
        <w:spacing w:line="300" w:lineRule="auto"/>
        <w:rPr>
          <w:rFonts w:ascii="宋体" w:hAnsi="宋体"/>
          <w:sz w:val="24"/>
        </w:rPr>
      </w:pPr>
    </w:p>
    <w:p>
      <w:pPr>
        <w:spacing w:line="360" w:lineRule="auto"/>
        <w:rPr>
          <w:rFonts w:ascii="宋体" w:hAnsi="宋体"/>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60" w:lineRule="auto"/>
        <w:ind w:firstLine="480" w:firstLineChars="200"/>
        <w:rPr>
          <w:rFonts w:ascii="宋体" w:hAnsi="宋体"/>
          <w:sz w:val="24"/>
        </w:rPr>
      </w:pPr>
      <w:r>
        <w:rPr>
          <w:rFonts w:ascii="宋体" w:hAnsi="宋体"/>
          <w:sz w:val="24"/>
        </w:rPr>
        <w:t>我方已经仔细阅读</w:t>
      </w:r>
      <w:r>
        <w:rPr>
          <w:rFonts w:hint="eastAsia" w:ascii="宋体" w:hAnsi="宋体"/>
          <w:b/>
          <w:sz w:val="24"/>
          <w:u w:val="single"/>
        </w:rPr>
        <w:t xml:space="preserve">                 </w:t>
      </w:r>
      <w:r>
        <w:rPr>
          <w:rFonts w:hint="eastAsia" w:ascii="宋体" w:hAnsi="宋体"/>
          <w:sz w:val="24"/>
        </w:rPr>
        <w:t>（招标编号）</w:t>
      </w:r>
      <w:r>
        <w:rPr>
          <w:rFonts w:ascii="宋体" w:hAnsi="宋体"/>
          <w:sz w:val="24"/>
        </w:rPr>
        <w:t>招标文件，同意招标人在招标文件中对投标方的约束。我方愿意参加投标，并已按照招标文件中要求的内容和格式充分、如实、准确地向贵方递交投标文件（正本一份，副本</w:t>
      </w:r>
      <w:r>
        <w:rPr>
          <w:rFonts w:hint="eastAsia" w:ascii="宋体" w:hAnsi="宋体"/>
          <w:sz w:val="24"/>
        </w:rPr>
        <w:t>___</w:t>
      </w:r>
      <w:r>
        <w:rPr>
          <w:rFonts w:ascii="宋体" w:hAnsi="宋体"/>
          <w:sz w:val="24"/>
        </w:rPr>
        <w:t>份）</w:t>
      </w:r>
      <w:r>
        <w:rPr>
          <w:rFonts w:hint="eastAsia" w:ascii="宋体" w:hAnsi="宋体"/>
          <w:sz w:val="24"/>
        </w:rPr>
        <w:t>。</w:t>
      </w:r>
      <w:r>
        <w:rPr>
          <w:rFonts w:ascii="宋体" w:hAnsi="宋体"/>
          <w:sz w:val="24"/>
        </w:rPr>
        <w:t>若中标</w:t>
      </w:r>
      <w:r>
        <w:rPr>
          <w:rFonts w:hint="eastAsia" w:ascii="宋体" w:hAnsi="宋体"/>
          <w:sz w:val="24"/>
        </w:rPr>
        <w:t>，</w:t>
      </w:r>
      <w:r>
        <w:rPr>
          <w:rFonts w:ascii="宋体" w:hAnsi="宋体"/>
          <w:sz w:val="24"/>
        </w:rPr>
        <w:t>我方将以此作为提供</w:t>
      </w:r>
      <w:r>
        <w:rPr>
          <w:rFonts w:hint="eastAsia" w:ascii="宋体" w:hAnsi="宋体"/>
          <w:sz w:val="24"/>
        </w:rPr>
        <w:t>相关</w:t>
      </w:r>
      <w:r>
        <w:rPr>
          <w:rFonts w:ascii="宋体" w:hAnsi="宋体"/>
          <w:sz w:val="24"/>
        </w:rPr>
        <w:t>物资及服务必须严格遵循的合同条件的组成部分</w:t>
      </w:r>
      <w:r>
        <w:rPr>
          <w:rFonts w:hint="eastAsia" w:ascii="宋体" w:hAnsi="宋体"/>
          <w:sz w:val="24"/>
        </w:rPr>
        <w:t>，</w:t>
      </w:r>
      <w:r>
        <w:rPr>
          <w:rFonts w:ascii="宋体" w:hAnsi="宋体"/>
          <w:sz w:val="24"/>
        </w:rPr>
        <w:t>并愿以与投标报价表相一致的合价总计人民币¥</w:t>
      </w:r>
      <w:r>
        <w:rPr>
          <w:rFonts w:hint="eastAsia" w:ascii="宋体" w:hAnsi="宋体"/>
          <w:sz w:val="24"/>
          <w:u w:val="single"/>
        </w:rPr>
        <w:t xml:space="preserve">       </w:t>
      </w:r>
      <w:r>
        <w:rPr>
          <w:rFonts w:ascii="宋体" w:hAnsi="宋体"/>
          <w:sz w:val="24"/>
        </w:rPr>
        <w:t>元（大写</w:t>
      </w:r>
      <w:r>
        <w:rPr>
          <w:rFonts w:hint="eastAsia" w:ascii="宋体" w:hAnsi="宋体"/>
          <w:sz w:val="24"/>
          <w:u w:val="single"/>
        </w:rPr>
        <w:t xml:space="preserve">        </w:t>
      </w:r>
      <w:r>
        <w:rPr>
          <w:rFonts w:ascii="宋体" w:hAnsi="宋体"/>
          <w:sz w:val="24"/>
        </w:rPr>
        <w:t>元）</w:t>
      </w:r>
      <w:r>
        <w:rPr>
          <w:rFonts w:hint="eastAsia" w:ascii="宋体" w:hAnsi="宋体"/>
          <w:sz w:val="24"/>
        </w:rPr>
        <w:t>签订采购合同</w:t>
      </w:r>
      <w:r>
        <w:rPr>
          <w:rFonts w:ascii="宋体" w:hAnsi="宋体"/>
          <w:sz w:val="24"/>
        </w:rPr>
        <w:t>。</w:t>
      </w:r>
    </w:p>
    <w:p>
      <w:pPr>
        <w:spacing w:line="360" w:lineRule="auto"/>
        <w:ind w:firstLine="480" w:firstLineChars="200"/>
        <w:rPr>
          <w:rFonts w:ascii="宋体" w:hAnsi="宋体"/>
          <w:sz w:val="24"/>
        </w:rPr>
      </w:pPr>
      <w:r>
        <w:rPr>
          <w:rFonts w:ascii="宋体" w:hAnsi="宋体"/>
          <w:sz w:val="24"/>
        </w:rPr>
        <w:t>我方将按照招标文件的要求，提供并交付与其相一致的物资和服务。</w:t>
      </w:r>
    </w:p>
    <w:p>
      <w:pPr>
        <w:spacing w:line="360" w:lineRule="auto"/>
        <w:ind w:firstLine="480" w:firstLineChars="200"/>
        <w:rPr>
          <w:rFonts w:ascii="宋体" w:hAnsi="宋体"/>
          <w:sz w:val="24"/>
        </w:rPr>
      </w:pPr>
      <w:r>
        <w:rPr>
          <w:rFonts w:ascii="宋体" w:hAnsi="宋体"/>
          <w:sz w:val="24"/>
        </w:rPr>
        <w:t>我方保证，如果我方的投标被接受，将严格执行招标文件中的各项条款，认真履行卖方的责任及义务，兑现我方投标文件中提出的各项承诺。</w:t>
      </w:r>
    </w:p>
    <w:p>
      <w:pPr>
        <w:spacing w:line="360" w:lineRule="auto"/>
        <w:ind w:firstLine="480" w:firstLineChars="200"/>
        <w:rPr>
          <w:rFonts w:ascii="宋体" w:hAnsi="宋体"/>
          <w:sz w:val="24"/>
        </w:rPr>
      </w:pPr>
      <w:r>
        <w:rPr>
          <w:rFonts w:ascii="宋体" w:hAnsi="宋体"/>
          <w:sz w:val="24"/>
        </w:rPr>
        <w:t>我方同意投标文件在投标人须知规定的</w:t>
      </w:r>
      <w:r>
        <w:rPr>
          <w:rFonts w:hint="eastAsia" w:ascii="宋体" w:hAnsi="宋体"/>
          <w:sz w:val="24"/>
        </w:rPr>
        <w:t>投</w:t>
      </w:r>
      <w:r>
        <w:rPr>
          <w:rFonts w:ascii="宋体" w:hAnsi="宋体"/>
          <w:sz w:val="24"/>
        </w:rPr>
        <w:t>标截止日期起</w:t>
      </w:r>
      <w:r>
        <w:rPr>
          <w:rFonts w:hint="eastAsia" w:ascii="宋体" w:hAnsi="宋体"/>
          <w:sz w:val="24"/>
        </w:rPr>
        <w:t>120</w:t>
      </w:r>
      <w:r>
        <w:rPr>
          <w:rFonts w:ascii="宋体" w:hAnsi="宋体"/>
          <w:sz w:val="24"/>
        </w:rPr>
        <w:t>天内有效，对我方具有约束力，并可随时接受中标。我方慎重保证，投标文件的所有内容及提供给招标人的所有证明文件和资料是真实的、准确的，一旦发现上述资料和信息的失实和错误，贵方将有权宣布本单位投标作废。</w:t>
      </w:r>
    </w:p>
    <w:p>
      <w:pPr>
        <w:spacing w:line="360" w:lineRule="auto"/>
        <w:ind w:firstLine="480" w:firstLineChars="200"/>
        <w:rPr>
          <w:rFonts w:ascii="宋体" w:hAnsi="宋体"/>
          <w:sz w:val="24"/>
        </w:rPr>
      </w:pPr>
      <w:r>
        <w:rPr>
          <w:rFonts w:ascii="宋体" w:hAnsi="宋体"/>
          <w:sz w:val="24"/>
        </w:rPr>
        <w:t>在正式合同准备签订或执行之前，本投标函、招标人的书面通知及中标通知书将构成约束我们双方的合同。我方理解招标人不一定接受最低价或收到的任何投标文件。</w:t>
      </w: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投标人（公章）：</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法定代表人或其授权代理人签字：</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宋体" w:hAnsi="宋体"/>
          <w:sz w:val="20"/>
          <w:szCs w:val="20"/>
        </w:rPr>
      </w:pPr>
      <w:r>
        <w:rPr>
          <w:rFonts w:ascii="宋体" w:hAnsi="宋体"/>
          <w:sz w:val="20"/>
          <w:szCs w:val="20"/>
        </w:rPr>
        <w:br w:type="page"/>
      </w:r>
    </w:p>
    <w:p>
      <w:pPr>
        <w:pStyle w:val="48"/>
        <w:tabs>
          <w:tab w:val="left" w:pos="284"/>
        </w:tabs>
        <w:spacing w:afterLines="50" w:line="0" w:lineRule="atLeast"/>
        <w:ind w:firstLine="0" w:firstLineChars="0"/>
        <w:outlineLvl w:val="1"/>
        <w:rPr>
          <w:rFonts w:ascii="宋体" w:hAnsi="宋体" w:cs="宋体"/>
          <w:sz w:val="22"/>
          <w:szCs w:val="22"/>
        </w:rPr>
      </w:pPr>
      <w:bookmarkStart w:id="501" w:name="_Toc436224144"/>
      <w:bookmarkStart w:id="502" w:name="_Toc366770116"/>
      <w:bookmarkStart w:id="503" w:name="_Toc3954"/>
      <w:bookmarkStart w:id="504" w:name="_Toc144974860"/>
      <w:bookmarkStart w:id="505" w:name="_Toc321997907"/>
      <w:bookmarkStart w:id="506" w:name="_Toc152042580"/>
      <w:bookmarkStart w:id="507" w:name="_Toc262740154"/>
      <w:bookmarkStart w:id="508" w:name="_Toc238552301"/>
      <w:bookmarkStart w:id="509" w:name="_Toc238797663"/>
      <w:bookmarkStart w:id="510" w:name="_Toc331195463"/>
      <w:bookmarkStart w:id="511" w:name="_Toc440492002"/>
      <w:bookmarkStart w:id="512" w:name="_Toc152045791"/>
      <w:r>
        <w:rPr>
          <w:rFonts w:hint="eastAsia" w:ascii="宋体" w:hAnsi="宋体" w:cs="宋体"/>
          <w:sz w:val="22"/>
          <w:szCs w:val="22"/>
        </w:rPr>
        <w:t>附录2</w:t>
      </w:r>
    </w:p>
    <w:p>
      <w:pPr>
        <w:pStyle w:val="48"/>
        <w:tabs>
          <w:tab w:val="left" w:pos="284"/>
        </w:tabs>
        <w:spacing w:beforeLines="100" w:afterLines="50" w:line="300" w:lineRule="auto"/>
        <w:ind w:firstLine="0" w:firstLineChars="0"/>
        <w:jc w:val="center"/>
        <w:outlineLvl w:val="1"/>
        <w:rPr>
          <w:rFonts w:ascii="黑体" w:hAnsi="黑体" w:eastAsia="黑体"/>
          <w:sz w:val="28"/>
          <w:szCs w:val="28"/>
        </w:rPr>
      </w:pPr>
      <w:r>
        <w:rPr>
          <w:rFonts w:ascii="黑体" w:hAnsi="黑体" w:eastAsia="黑体"/>
          <w:sz w:val="28"/>
          <w:szCs w:val="28"/>
        </w:rPr>
        <w:t>法定代表人身份证明</w:t>
      </w:r>
      <w:bookmarkEnd w:id="501"/>
      <w:bookmarkEnd w:id="502"/>
      <w:bookmarkEnd w:id="503"/>
      <w:bookmarkEnd w:id="504"/>
      <w:bookmarkEnd w:id="505"/>
      <w:bookmarkEnd w:id="506"/>
      <w:bookmarkEnd w:id="507"/>
      <w:bookmarkEnd w:id="508"/>
      <w:bookmarkEnd w:id="509"/>
      <w:bookmarkEnd w:id="510"/>
      <w:bookmarkEnd w:id="511"/>
      <w:bookmarkEnd w:id="512"/>
    </w:p>
    <w:p>
      <w:pPr>
        <w:spacing w:line="300" w:lineRule="auto"/>
        <w:rPr>
          <w:rFonts w:ascii="宋体" w:hAnsi="宋体"/>
          <w:sz w:val="20"/>
          <w:szCs w:val="20"/>
        </w:rPr>
      </w:pPr>
    </w:p>
    <w:p>
      <w:pPr>
        <w:spacing w:line="300" w:lineRule="auto"/>
        <w:rPr>
          <w:rFonts w:ascii="宋体" w:hAnsi="宋体"/>
          <w:sz w:val="24"/>
        </w:rPr>
      </w:pPr>
      <w:r>
        <w:rPr>
          <w:rFonts w:ascii="宋体" w:hAnsi="宋体"/>
          <w:sz w:val="24"/>
        </w:rPr>
        <w:t>投标人名称：</w:t>
      </w:r>
      <w:r>
        <w:rPr>
          <w:rFonts w:hint="eastAsia" w:ascii="宋体" w:hAnsi="宋体"/>
          <w:sz w:val="24"/>
        </w:rPr>
        <w:t>______________________</w:t>
      </w:r>
    </w:p>
    <w:p>
      <w:pPr>
        <w:spacing w:line="300" w:lineRule="auto"/>
        <w:rPr>
          <w:rFonts w:ascii="宋体" w:hAnsi="宋体"/>
          <w:sz w:val="24"/>
        </w:rPr>
      </w:pPr>
      <w:r>
        <w:rPr>
          <w:rFonts w:ascii="宋体" w:hAnsi="宋体"/>
          <w:sz w:val="24"/>
        </w:rPr>
        <w:t>单位性质：</w:t>
      </w:r>
      <w:r>
        <w:rPr>
          <w:rFonts w:hint="eastAsia" w:ascii="宋体" w:hAnsi="宋体"/>
          <w:sz w:val="24"/>
        </w:rPr>
        <w:t>________________________</w:t>
      </w:r>
    </w:p>
    <w:p>
      <w:pPr>
        <w:spacing w:line="300" w:lineRule="auto"/>
        <w:rPr>
          <w:rFonts w:ascii="宋体" w:hAnsi="宋体"/>
          <w:sz w:val="24"/>
        </w:rPr>
      </w:pPr>
      <w:r>
        <w:rPr>
          <w:rFonts w:ascii="宋体" w:hAnsi="宋体"/>
          <w:sz w:val="24"/>
        </w:rPr>
        <w:t>地址：</w:t>
      </w:r>
      <w:r>
        <w:rPr>
          <w:rFonts w:hint="eastAsia" w:ascii="宋体" w:hAnsi="宋体"/>
          <w:sz w:val="24"/>
        </w:rPr>
        <w:t>____________________________</w:t>
      </w:r>
    </w:p>
    <w:p>
      <w:pPr>
        <w:spacing w:line="300" w:lineRule="auto"/>
        <w:rPr>
          <w:rFonts w:ascii="宋体" w:hAnsi="宋体"/>
          <w:sz w:val="24"/>
        </w:rPr>
      </w:pPr>
      <w:r>
        <w:rPr>
          <w:rFonts w:ascii="宋体" w:hAnsi="宋体"/>
          <w:sz w:val="24"/>
        </w:rPr>
        <w:t>成立时间：</w:t>
      </w:r>
      <w:r>
        <w:rPr>
          <w:rFonts w:hint="eastAsia" w:ascii="宋体" w:hAnsi="宋体"/>
          <w:sz w:val="24"/>
        </w:rPr>
        <w:t>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宋体" w:hAnsi="宋体"/>
          <w:sz w:val="24"/>
        </w:rPr>
      </w:pPr>
      <w:r>
        <w:rPr>
          <w:rFonts w:ascii="宋体" w:hAnsi="宋体"/>
          <w:sz w:val="24"/>
        </w:rPr>
        <w:t>经营期限：</w:t>
      </w:r>
      <w:r>
        <w:rPr>
          <w:rFonts w:hint="eastAsia" w:ascii="宋体" w:hAnsi="宋体"/>
          <w:sz w:val="24"/>
        </w:rPr>
        <w:t>________________________</w:t>
      </w:r>
    </w:p>
    <w:p>
      <w:pPr>
        <w:spacing w:line="300" w:lineRule="auto"/>
        <w:rPr>
          <w:rFonts w:ascii="宋体" w:hAnsi="宋体"/>
          <w:sz w:val="24"/>
        </w:rPr>
      </w:pPr>
    </w:p>
    <w:p>
      <w:pPr>
        <w:spacing w:line="300" w:lineRule="auto"/>
        <w:rPr>
          <w:rFonts w:ascii="宋体" w:hAnsi="宋体"/>
          <w:sz w:val="24"/>
        </w:rPr>
      </w:pPr>
      <w:r>
        <w:rPr>
          <w:rFonts w:ascii="宋体" w:hAnsi="宋体"/>
          <w:sz w:val="24"/>
        </w:rPr>
        <w:t>姓名：</w:t>
      </w:r>
      <w:r>
        <w:rPr>
          <w:rFonts w:hint="eastAsia" w:ascii="宋体" w:hAnsi="宋体"/>
          <w:sz w:val="24"/>
        </w:rPr>
        <w:t>_________</w:t>
      </w:r>
      <w:r>
        <w:rPr>
          <w:rFonts w:ascii="宋体" w:hAnsi="宋体"/>
          <w:sz w:val="24"/>
        </w:rPr>
        <w:t>性别：</w:t>
      </w:r>
      <w:r>
        <w:rPr>
          <w:rFonts w:hint="eastAsia" w:ascii="宋体" w:hAnsi="宋体"/>
          <w:sz w:val="24"/>
        </w:rPr>
        <w:t>_____</w:t>
      </w:r>
      <w:r>
        <w:rPr>
          <w:rFonts w:ascii="宋体" w:hAnsi="宋体"/>
          <w:sz w:val="24"/>
        </w:rPr>
        <w:t>年龄：</w:t>
      </w:r>
      <w:r>
        <w:rPr>
          <w:rFonts w:hint="eastAsia" w:ascii="宋体" w:hAnsi="宋体"/>
          <w:sz w:val="24"/>
        </w:rPr>
        <w:t>_____</w:t>
      </w:r>
      <w:r>
        <w:rPr>
          <w:rFonts w:ascii="宋体" w:hAnsi="宋体"/>
          <w:sz w:val="24"/>
        </w:rPr>
        <w:t>职务：</w:t>
      </w:r>
      <w:r>
        <w:rPr>
          <w:rFonts w:hint="eastAsia" w:ascii="宋体" w:hAnsi="宋体"/>
          <w:sz w:val="24"/>
        </w:rPr>
        <w:t>_________________</w:t>
      </w:r>
    </w:p>
    <w:p>
      <w:pPr>
        <w:spacing w:line="300" w:lineRule="auto"/>
        <w:rPr>
          <w:rFonts w:ascii="宋体" w:hAnsi="宋体"/>
          <w:sz w:val="24"/>
        </w:rPr>
      </w:pPr>
      <w:r>
        <w:rPr>
          <w:rFonts w:ascii="宋体" w:hAnsi="宋体"/>
          <w:sz w:val="24"/>
        </w:rPr>
        <w:t>系</w:t>
      </w:r>
      <w:r>
        <w:rPr>
          <w:rFonts w:hint="eastAsia" w:ascii="宋体" w:hAnsi="宋体"/>
          <w:sz w:val="24"/>
          <w:u w:val="single"/>
        </w:rPr>
        <w:t xml:space="preserve">    （</w:t>
      </w:r>
      <w:r>
        <w:rPr>
          <w:rFonts w:ascii="宋体" w:hAnsi="宋体"/>
          <w:sz w:val="24"/>
          <w:u w:val="single"/>
        </w:rPr>
        <w:t>投标人名称</w:t>
      </w:r>
      <w:r>
        <w:rPr>
          <w:rFonts w:hint="eastAsia" w:ascii="宋体" w:hAnsi="宋体"/>
          <w:sz w:val="24"/>
          <w:u w:val="single"/>
        </w:rPr>
        <w:t xml:space="preserve">）    </w:t>
      </w:r>
      <w:r>
        <w:rPr>
          <w:rFonts w:ascii="宋体" w:hAnsi="宋体"/>
          <w:sz w:val="24"/>
        </w:rPr>
        <w:t>的法定代表人。</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r>
        <w:rPr>
          <w:rFonts w:ascii="宋体" w:hAnsi="宋体"/>
          <w:sz w:val="24"/>
        </w:rPr>
        <w:t>特此证明。</w:t>
      </w: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spacing w:line="300" w:lineRule="auto"/>
        <w:rPr>
          <w:rFonts w:ascii="宋体" w:hAnsi="宋体"/>
          <w:sz w:val="24"/>
        </w:rPr>
      </w:pPr>
    </w:p>
    <w:p>
      <w:pPr>
        <w:wordWrap w:val="0"/>
        <w:spacing w:line="300" w:lineRule="auto"/>
        <w:ind w:right="420"/>
        <w:jc w:val="center"/>
        <w:rPr>
          <w:rFonts w:ascii="宋体" w:hAnsi="宋体"/>
          <w:sz w:val="24"/>
        </w:rPr>
      </w:pPr>
      <w:r>
        <w:rPr>
          <w:rFonts w:hint="eastAsia" w:ascii="宋体" w:hAnsi="宋体"/>
          <w:sz w:val="24"/>
        </w:rPr>
        <w:t xml:space="preserve">                           </w:t>
      </w:r>
      <w:r>
        <w:rPr>
          <w:rFonts w:ascii="宋体" w:hAnsi="宋体"/>
          <w:sz w:val="24"/>
        </w:rPr>
        <w:t>投标人</w:t>
      </w:r>
      <w:r>
        <w:rPr>
          <w:rFonts w:hint="eastAsia" w:ascii="宋体" w:hAnsi="宋体"/>
          <w:sz w:val="24"/>
        </w:rPr>
        <w:t>（公章）</w:t>
      </w:r>
      <w:r>
        <w:rPr>
          <w:rFonts w:ascii="宋体" w:hAnsi="宋体"/>
          <w:sz w:val="24"/>
        </w:rPr>
        <w:t>：</w:t>
      </w:r>
    </w:p>
    <w:p>
      <w:pPr>
        <w:wordWrap w:val="0"/>
        <w:spacing w:line="300" w:lineRule="auto"/>
        <w:ind w:right="420"/>
        <w:jc w:val="center"/>
        <w:rPr>
          <w:rFonts w:ascii="宋体" w:hAnsi="宋体"/>
          <w:sz w:val="24"/>
        </w:rPr>
      </w:pPr>
      <w:r>
        <w:rPr>
          <w:rFonts w:hint="eastAsia" w:ascii="宋体" w:hAnsi="宋体"/>
          <w:sz w:val="24"/>
        </w:rPr>
        <w:t xml:space="preserve">                               </w:t>
      </w:r>
    </w:p>
    <w:p>
      <w:pPr>
        <w:wordWrap w:val="0"/>
        <w:spacing w:line="300" w:lineRule="auto"/>
        <w:ind w:right="420"/>
        <w:jc w:val="right"/>
        <w:rPr>
          <w:rFonts w:ascii="宋体" w:hAnsi="宋体"/>
          <w:sz w:val="24"/>
        </w:rPr>
      </w:pPr>
      <w:r>
        <w:rPr>
          <w:rFonts w:hint="eastAsia" w:ascii="宋体" w:hAnsi="宋体"/>
          <w:sz w:val="24"/>
        </w:rPr>
        <w:t xml:space="preserve">                     __________</w:t>
      </w:r>
      <w:r>
        <w:rPr>
          <w:rFonts w:ascii="宋体" w:hAnsi="宋体"/>
          <w:sz w:val="24"/>
        </w:rPr>
        <w:t>年</w:t>
      </w:r>
      <w:r>
        <w:rPr>
          <w:rFonts w:hint="eastAsia" w:ascii="宋体" w:hAnsi="宋体"/>
          <w:sz w:val="24"/>
        </w:rPr>
        <w:t>____</w:t>
      </w:r>
      <w:r>
        <w:rPr>
          <w:rFonts w:ascii="宋体" w:hAnsi="宋体"/>
          <w:sz w:val="24"/>
        </w:rPr>
        <w:t>月</w:t>
      </w:r>
      <w:r>
        <w:rPr>
          <w:rFonts w:hint="eastAsia" w:ascii="宋体" w:hAnsi="宋体"/>
          <w:sz w:val="24"/>
        </w:rPr>
        <w:t>____</w:t>
      </w:r>
      <w:r>
        <w:rPr>
          <w:rFonts w:ascii="宋体" w:hAnsi="宋体"/>
          <w:sz w:val="24"/>
        </w:rPr>
        <w:t>日</w:t>
      </w:r>
    </w:p>
    <w:p>
      <w:pPr>
        <w:widowControl/>
        <w:jc w:val="left"/>
        <w:rPr>
          <w:rFonts w:ascii="宋体" w:hAnsi="宋体"/>
          <w:sz w:val="24"/>
        </w:rPr>
      </w:pPr>
      <w:r>
        <w:rPr>
          <w:rFonts w:ascii="宋体" w:hAnsi="宋体"/>
          <w:sz w:val="24"/>
        </w:rPr>
        <w:br w:type="page"/>
      </w:r>
    </w:p>
    <w:p>
      <w:pPr>
        <w:pStyle w:val="48"/>
        <w:tabs>
          <w:tab w:val="left" w:pos="284"/>
        </w:tabs>
        <w:spacing w:afterLines="50" w:line="0" w:lineRule="atLeast"/>
        <w:ind w:firstLine="0" w:firstLineChars="0"/>
        <w:outlineLvl w:val="1"/>
        <w:rPr>
          <w:rFonts w:ascii="宋体" w:hAnsi="宋体" w:cs="宋体"/>
          <w:sz w:val="22"/>
          <w:szCs w:val="22"/>
        </w:rPr>
      </w:pPr>
      <w:bookmarkStart w:id="513" w:name="_Toc262740155"/>
      <w:bookmarkStart w:id="514" w:name="_Toc366770117"/>
      <w:bookmarkStart w:id="515" w:name="_Toc152045792"/>
      <w:bookmarkStart w:id="516" w:name="_Toc331195464"/>
      <w:bookmarkStart w:id="517" w:name="_Toc144974861"/>
      <w:bookmarkStart w:id="518" w:name="_Toc238552302"/>
      <w:bookmarkStart w:id="519" w:name="_Toc15870"/>
      <w:bookmarkStart w:id="520" w:name="_Toc152042581"/>
      <w:bookmarkStart w:id="521" w:name="_Toc238797664"/>
      <w:bookmarkStart w:id="522" w:name="_Toc440492003"/>
      <w:bookmarkStart w:id="523" w:name="_Toc321997908"/>
      <w:bookmarkStart w:id="524" w:name="_Toc436224145"/>
      <w:r>
        <w:rPr>
          <w:rFonts w:hint="eastAsia" w:ascii="宋体" w:hAnsi="宋体" w:cs="宋体"/>
          <w:sz w:val="22"/>
          <w:szCs w:val="22"/>
        </w:rPr>
        <w:t>附录3</w:t>
      </w:r>
    </w:p>
    <w:p>
      <w:pPr>
        <w:pStyle w:val="48"/>
        <w:tabs>
          <w:tab w:val="left" w:pos="284"/>
        </w:tabs>
        <w:spacing w:beforeLines="100" w:afterLines="50" w:line="300" w:lineRule="auto"/>
        <w:ind w:firstLine="0" w:firstLineChars="0"/>
        <w:jc w:val="center"/>
        <w:outlineLvl w:val="1"/>
        <w:rPr>
          <w:rFonts w:ascii="黑体" w:hAnsi="黑体" w:eastAsia="黑体"/>
          <w:sz w:val="28"/>
          <w:szCs w:val="28"/>
        </w:rPr>
      </w:pPr>
      <w:r>
        <w:rPr>
          <w:rFonts w:ascii="黑体" w:hAnsi="黑体" w:eastAsia="黑体"/>
          <w:sz w:val="28"/>
          <w:szCs w:val="28"/>
        </w:rPr>
        <w:t>授权委托书</w:t>
      </w:r>
      <w:bookmarkEnd w:id="513"/>
      <w:bookmarkEnd w:id="514"/>
      <w:bookmarkEnd w:id="515"/>
      <w:bookmarkEnd w:id="516"/>
      <w:bookmarkEnd w:id="517"/>
      <w:bookmarkEnd w:id="518"/>
      <w:bookmarkEnd w:id="519"/>
      <w:bookmarkEnd w:id="520"/>
      <w:bookmarkEnd w:id="521"/>
      <w:bookmarkEnd w:id="522"/>
      <w:bookmarkEnd w:id="523"/>
      <w:bookmarkEnd w:id="524"/>
    </w:p>
    <w:p>
      <w:pPr>
        <w:spacing w:line="300" w:lineRule="auto"/>
        <w:rPr>
          <w:rFonts w:ascii="宋体" w:hAnsi="宋体"/>
          <w:szCs w:val="21"/>
        </w:rPr>
      </w:pPr>
    </w:p>
    <w:p>
      <w:pPr>
        <w:spacing w:line="480" w:lineRule="auto"/>
        <w:ind w:firstLine="480" w:firstLineChars="200"/>
        <w:rPr>
          <w:rFonts w:hAnsi="宋体"/>
          <w:sz w:val="24"/>
        </w:rPr>
      </w:pPr>
      <w:r>
        <w:rPr>
          <w:rFonts w:hAnsi="宋体"/>
          <w:sz w:val="24"/>
        </w:rPr>
        <w:t>本授权书声明：注册于</w:t>
      </w:r>
      <w:r>
        <w:rPr>
          <w:rFonts w:hint="eastAsia" w:hAnsi="宋体"/>
          <w:sz w:val="24"/>
          <w:u w:val="single"/>
        </w:rPr>
        <w:t xml:space="preserve">    </w:t>
      </w:r>
      <w:r>
        <w:rPr>
          <w:rFonts w:hAnsi="宋体"/>
          <w:sz w:val="24"/>
        </w:rPr>
        <w:t>省</w:t>
      </w:r>
      <w:r>
        <w:rPr>
          <w:rFonts w:hint="eastAsia" w:hAnsi="宋体"/>
          <w:sz w:val="24"/>
          <w:u w:val="single"/>
        </w:rPr>
        <w:t xml:space="preserve">    </w:t>
      </w:r>
      <w:r>
        <w:rPr>
          <w:rFonts w:hAnsi="宋体"/>
          <w:sz w:val="24"/>
        </w:rPr>
        <w:t>市</w:t>
      </w:r>
      <w:r>
        <w:rPr>
          <w:rFonts w:hint="eastAsia" w:hAnsi="宋体"/>
          <w:sz w:val="24"/>
          <w:u w:val="single"/>
        </w:rPr>
        <w:t xml:space="preserve">    </w:t>
      </w:r>
      <w:r>
        <w:rPr>
          <w:rFonts w:hAnsi="宋体"/>
          <w:sz w:val="24"/>
        </w:rPr>
        <w:t>县工商管理局的</w:t>
      </w:r>
      <w:r>
        <w:rPr>
          <w:rFonts w:hint="eastAsia" w:hAnsi="宋体"/>
          <w:sz w:val="24"/>
          <w:u w:val="single"/>
        </w:rPr>
        <w:t xml:space="preserve">    </w:t>
      </w:r>
      <w:r>
        <w:rPr>
          <w:rFonts w:hAnsi="宋体"/>
          <w:sz w:val="24"/>
          <w:u w:val="single"/>
        </w:rPr>
        <w:t>（单位名称）</w:t>
      </w:r>
      <w:r>
        <w:rPr>
          <w:rFonts w:hint="eastAsia" w:hAnsi="宋体"/>
          <w:sz w:val="24"/>
          <w:u w:val="single"/>
        </w:rPr>
        <w:t xml:space="preserve">    </w:t>
      </w:r>
      <w:r>
        <w:rPr>
          <w:rFonts w:hAnsi="宋体"/>
          <w:sz w:val="24"/>
        </w:rPr>
        <w:t>在下面签字的</w:t>
      </w:r>
      <w:r>
        <w:rPr>
          <w:rFonts w:hint="eastAsia" w:hAnsi="宋体"/>
          <w:sz w:val="24"/>
          <w:u w:val="single"/>
        </w:rPr>
        <w:t xml:space="preserve">    </w:t>
      </w:r>
      <w:r>
        <w:rPr>
          <w:rFonts w:hAnsi="宋体"/>
          <w:sz w:val="24"/>
          <w:u w:val="single"/>
        </w:rPr>
        <w:t>（法定代表人姓名和职务）</w:t>
      </w:r>
      <w:r>
        <w:rPr>
          <w:rFonts w:hint="eastAsia" w:hAnsi="宋体"/>
          <w:sz w:val="24"/>
          <w:u w:val="single"/>
        </w:rPr>
        <w:t xml:space="preserve">    </w:t>
      </w:r>
      <w:r>
        <w:rPr>
          <w:rFonts w:hAnsi="宋体"/>
          <w:sz w:val="24"/>
        </w:rPr>
        <w:t>授权</w:t>
      </w:r>
      <w:r>
        <w:rPr>
          <w:rFonts w:hint="eastAsia" w:hAnsi="宋体"/>
          <w:sz w:val="24"/>
          <w:u w:val="single"/>
        </w:rPr>
        <w:t xml:space="preserve">    </w:t>
      </w:r>
      <w:r>
        <w:rPr>
          <w:rFonts w:hAnsi="宋体"/>
          <w:sz w:val="24"/>
          <w:u w:val="single"/>
        </w:rPr>
        <w:t>（单位、部门名称）</w:t>
      </w:r>
      <w:r>
        <w:rPr>
          <w:rFonts w:hint="eastAsia" w:hAnsi="宋体"/>
          <w:sz w:val="24"/>
          <w:u w:val="single"/>
        </w:rPr>
        <w:t xml:space="preserve">    </w:t>
      </w:r>
      <w:r>
        <w:rPr>
          <w:rFonts w:hAnsi="宋体"/>
          <w:sz w:val="24"/>
        </w:rPr>
        <w:t>在下面签字的</w:t>
      </w:r>
      <w:r>
        <w:rPr>
          <w:rFonts w:hint="eastAsia" w:hAnsi="宋体"/>
          <w:sz w:val="24"/>
          <w:u w:val="single"/>
        </w:rPr>
        <w:t xml:space="preserve">    </w:t>
      </w:r>
      <w:r>
        <w:rPr>
          <w:rFonts w:hAnsi="宋体"/>
          <w:sz w:val="24"/>
          <w:u w:val="single"/>
        </w:rPr>
        <w:t>（职务、姓名）</w:t>
      </w:r>
      <w:r>
        <w:rPr>
          <w:rFonts w:hint="eastAsia" w:hAnsi="宋体"/>
          <w:sz w:val="24"/>
          <w:u w:val="single"/>
        </w:rPr>
        <w:t xml:space="preserve">    </w:t>
      </w:r>
      <w:r>
        <w:rPr>
          <w:rFonts w:hAnsi="宋体"/>
          <w:sz w:val="24"/>
        </w:rPr>
        <w:t>为本公司的合法代理人，就</w:t>
      </w:r>
      <w:r>
        <w:rPr>
          <w:rFonts w:hint="eastAsia" w:ascii="宋体" w:hAnsi="宋体"/>
          <w:b/>
          <w:sz w:val="24"/>
          <w:u w:val="single"/>
        </w:rPr>
        <w:t xml:space="preserve">    </w:t>
      </w:r>
      <w:r>
        <w:rPr>
          <w:rFonts w:hint="eastAsia" w:hAnsi="宋体"/>
          <w:sz w:val="24"/>
          <w:u w:val="single"/>
        </w:rPr>
        <w:t xml:space="preserve">（招标编号）    </w:t>
      </w:r>
      <w:r>
        <w:rPr>
          <w:rFonts w:hAnsi="宋体"/>
          <w:sz w:val="24"/>
        </w:rPr>
        <w:t>招标文件投标及合同的签订、履行直至完成，并以本公司名义处理一切与之有关的事务。</w:t>
      </w:r>
    </w:p>
    <w:p>
      <w:pPr>
        <w:spacing w:line="480" w:lineRule="auto"/>
        <w:ind w:firstLine="480" w:firstLineChars="200"/>
        <w:rPr>
          <w:rFonts w:hAnsi="宋体"/>
          <w:sz w:val="24"/>
        </w:rPr>
      </w:pPr>
      <w:r>
        <w:rPr>
          <w:rFonts w:hAnsi="宋体"/>
          <w:sz w:val="24"/>
        </w:rPr>
        <w:t>本授权书</w:t>
      </w:r>
      <w:r>
        <w:rPr>
          <w:rFonts w:hint="eastAsia" w:hAnsi="宋体"/>
          <w:sz w:val="24"/>
        </w:rPr>
        <w:t>经法定代表人签字并盖单位公章</w:t>
      </w:r>
      <w:r>
        <w:rPr>
          <w:rFonts w:hAnsi="宋体"/>
          <w:sz w:val="24"/>
        </w:rPr>
        <w:t>生效。</w:t>
      </w:r>
    </w:p>
    <w:p>
      <w:pPr>
        <w:spacing w:line="300" w:lineRule="auto"/>
        <w:rPr>
          <w:rFonts w:hAnsi="宋体"/>
          <w:sz w:val="24"/>
        </w:rPr>
      </w:pPr>
    </w:p>
    <w:p>
      <w:pPr>
        <w:spacing w:line="300" w:lineRule="auto"/>
        <w:rPr>
          <w:rFonts w:hAnsi="宋体"/>
          <w:sz w:val="24"/>
        </w:rPr>
      </w:pPr>
    </w:p>
    <w:p>
      <w:pPr>
        <w:spacing w:line="300" w:lineRule="auto"/>
        <w:rPr>
          <w:rFonts w:hAnsi="宋体"/>
          <w:sz w:val="24"/>
        </w:rPr>
      </w:pPr>
    </w:p>
    <w:p>
      <w:pPr>
        <w:spacing w:line="300" w:lineRule="auto"/>
        <w:rPr>
          <w:rFonts w:hAnsi="宋体"/>
          <w:sz w:val="24"/>
        </w:rPr>
      </w:pPr>
    </w:p>
    <w:p>
      <w:pPr>
        <w:spacing w:line="300" w:lineRule="auto"/>
        <w:rPr>
          <w:rFonts w:hAnsi="宋体"/>
          <w:sz w:val="24"/>
        </w:rPr>
      </w:pPr>
      <w:r>
        <w:rPr>
          <w:rFonts w:hAnsi="宋体"/>
          <w:sz w:val="24"/>
        </w:rPr>
        <w:t>法定代表人签字：</w:t>
      </w:r>
    </w:p>
    <w:p>
      <w:pPr>
        <w:spacing w:line="300" w:lineRule="auto"/>
        <w:rPr>
          <w:rFonts w:hAnsi="宋体"/>
          <w:sz w:val="24"/>
        </w:rPr>
      </w:pPr>
      <w:r>
        <w:rPr>
          <w:rFonts w:hAnsi="宋体"/>
          <w:sz w:val="24"/>
        </w:rPr>
        <w:t>法定代表人</w:t>
      </w:r>
      <w:r>
        <w:rPr>
          <w:rFonts w:hint="eastAsia" w:hAnsi="宋体"/>
          <w:sz w:val="24"/>
        </w:rPr>
        <w:t>身份证号码：</w:t>
      </w:r>
    </w:p>
    <w:p>
      <w:pPr>
        <w:spacing w:line="300" w:lineRule="auto"/>
        <w:rPr>
          <w:rFonts w:hAnsi="宋体"/>
          <w:sz w:val="24"/>
        </w:rPr>
      </w:pPr>
    </w:p>
    <w:p>
      <w:pPr>
        <w:spacing w:line="300" w:lineRule="auto"/>
        <w:rPr>
          <w:rFonts w:hAnsi="宋体"/>
          <w:sz w:val="24"/>
        </w:rPr>
      </w:pPr>
      <w:r>
        <w:rPr>
          <w:rFonts w:hAnsi="宋体"/>
          <w:sz w:val="24"/>
        </w:rPr>
        <w:t>被授权代理人签字：</w:t>
      </w:r>
    </w:p>
    <w:p>
      <w:pPr>
        <w:spacing w:line="300" w:lineRule="auto"/>
        <w:rPr>
          <w:rFonts w:hAnsi="宋体"/>
          <w:sz w:val="24"/>
        </w:rPr>
      </w:pPr>
      <w:r>
        <w:rPr>
          <w:rFonts w:hAnsi="宋体"/>
          <w:sz w:val="24"/>
        </w:rPr>
        <w:t>被授权代理人</w:t>
      </w:r>
      <w:r>
        <w:rPr>
          <w:rFonts w:hint="eastAsia" w:hAnsi="宋体"/>
          <w:sz w:val="24"/>
        </w:rPr>
        <w:t>身份证号码：</w:t>
      </w:r>
    </w:p>
    <w:p>
      <w:pPr>
        <w:spacing w:line="300" w:lineRule="auto"/>
        <w:rPr>
          <w:rFonts w:hAnsi="宋体"/>
          <w:sz w:val="24"/>
        </w:rPr>
      </w:pPr>
    </w:p>
    <w:p>
      <w:pPr>
        <w:spacing w:line="300" w:lineRule="auto"/>
        <w:rPr>
          <w:rFonts w:hAnsi="宋体"/>
          <w:sz w:val="24"/>
        </w:rPr>
      </w:pPr>
      <w:r>
        <w:rPr>
          <w:rFonts w:hAnsi="宋体"/>
          <w:sz w:val="24"/>
        </w:rPr>
        <w:t>单位名称（公章）：</w:t>
      </w:r>
    </w:p>
    <w:p>
      <w:pPr>
        <w:spacing w:line="300" w:lineRule="auto"/>
        <w:rPr>
          <w:rFonts w:hAnsi="宋体"/>
          <w:sz w:val="24"/>
        </w:rPr>
      </w:pPr>
      <w:r>
        <w:rPr>
          <w:rFonts w:hAnsi="宋体"/>
          <w:sz w:val="24"/>
        </w:rPr>
        <w:t>单位地址：</w:t>
      </w:r>
    </w:p>
    <w:p>
      <w:pPr>
        <w:spacing w:line="300" w:lineRule="auto"/>
        <w:rPr>
          <w:rFonts w:ascii="宋体" w:hAnsi="宋体"/>
          <w:sz w:val="24"/>
        </w:rPr>
      </w:pPr>
    </w:p>
    <w:p>
      <w:pPr>
        <w:spacing w:line="300" w:lineRule="auto"/>
        <w:jc w:val="right"/>
        <w:rPr>
          <w:rFonts w:ascii="宋体" w:hAnsi="宋体"/>
          <w:sz w:val="24"/>
          <w:u w:val="single"/>
        </w:rPr>
      </w:pPr>
    </w:p>
    <w:p>
      <w:pPr>
        <w:spacing w:line="300" w:lineRule="auto"/>
        <w:ind w:firstLine="240" w:firstLineChars="100"/>
        <w:jc w:val="right"/>
        <w:rPr>
          <w:rFonts w:ascii="宋体" w:hAnsi="宋体"/>
        </w:rPr>
      </w:pPr>
      <w:r>
        <w:rPr>
          <w:rFonts w:hint="eastAsia" w:ascii="宋体" w:hAnsi="宋体"/>
          <w:sz w:val="24"/>
        </w:rPr>
        <w:t>________年___月___日</w:t>
      </w:r>
      <w:r>
        <w:rPr>
          <w:rFonts w:ascii="宋体" w:hAnsi="宋体"/>
          <w:sz w:val="20"/>
          <w:szCs w:val="20"/>
        </w:rPr>
        <w:br w:type="page"/>
      </w:r>
    </w:p>
    <w:p>
      <w:pPr>
        <w:pStyle w:val="48"/>
        <w:tabs>
          <w:tab w:val="left" w:pos="284"/>
        </w:tabs>
        <w:spacing w:afterLines="50" w:line="0" w:lineRule="atLeast"/>
        <w:ind w:firstLine="0" w:firstLineChars="0"/>
        <w:outlineLvl w:val="1"/>
        <w:rPr>
          <w:rFonts w:ascii="宋体" w:hAnsi="宋体" w:cs="宋体"/>
          <w:sz w:val="22"/>
          <w:szCs w:val="22"/>
        </w:rPr>
      </w:pPr>
      <w:bookmarkStart w:id="525" w:name="_Toc440492005"/>
      <w:bookmarkStart w:id="526" w:name="_Toc321997910"/>
      <w:bookmarkStart w:id="527" w:name="_Toc23759"/>
      <w:bookmarkStart w:id="528" w:name="_Toc262740157"/>
      <w:bookmarkStart w:id="529" w:name="_Toc331195466"/>
      <w:bookmarkStart w:id="530" w:name="_Toc436224147"/>
      <w:bookmarkStart w:id="531" w:name="_Toc238797667"/>
      <w:bookmarkStart w:id="532" w:name="_Toc238552305"/>
      <w:bookmarkStart w:id="533" w:name="_Toc366770119"/>
      <w:r>
        <w:rPr>
          <w:rFonts w:hint="eastAsia" w:ascii="宋体" w:hAnsi="宋体" w:cs="宋体"/>
          <w:sz w:val="22"/>
          <w:szCs w:val="22"/>
        </w:rPr>
        <w:t>附录4</w:t>
      </w:r>
    </w:p>
    <w:p>
      <w:pPr>
        <w:pStyle w:val="48"/>
        <w:tabs>
          <w:tab w:val="left" w:pos="284"/>
        </w:tabs>
        <w:spacing w:beforeLines="100" w:afterLines="50" w:line="300" w:lineRule="auto"/>
        <w:ind w:firstLine="0" w:firstLineChars="0"/>
        <w:jc w:val="center"/>
        <w:outlineLvl w:val="1"/>
        <w:rPr>
          <w:rFonts w:ascii="黑体" w:hAnsi="黑体" w:eastAsia="黑体"/>
          <w:sz w:val="28"/>
          <w:szCs w:val="28"/>
        </w:rPr>
      </w:pPr>
      <w:r>
        <w:rPr>
          <w:rFonts w:ascii="黑体" w:hAnsi="黑体" w:eastAsia="黑体"/>
          <w:sz w:val="28"/>
          <w:szCs w:val="28"/>
        </w:rPr>
        <w:t>资格审查资料</w:t>
      </w:r>
      <w:bookmarkEnd w:id="525"/>
      <w:bookmarkEnd w:id="526"/>
      <w:bookmarkEnd w:id="527"/>
      <w:bookmarkEnd w:id="528"/>
      <w:bookmarkEnd w:id="529"/>
      <w:bookmarkEnd w:id="530"/>
      <w:bookmarkEnd w:id="531"/>
      <w:bookmarkEnd w:id="532"/>
      <w:bookmarkEnd w:id="533"/>
    </w:p>
    <w:p>
      <w:pPr>
        <w:pStyle w:val="48"/>
        <w:tabs>
          <w:tab w:val="left" w:pos="426"/>
        </w:tabs>
        <w:spacing w:line="300" w:lineRule="auto"/>
        <w:ind w:firstLine="0" w:firstLineChars="0"/>
        <w:rPr>
          <w:rFonts w:ascii="宋体" w:hAnsi="宋体"/>
          <w:b/>
          <w:sz w:val="24"/>
        </w:rPr>
      </w:pPr>
      <w:bookmarkStart w:id="534" w:name="_Toc321997911"/>
      <w:bookmarkStart w:id="535" w:name="_Toc262740158"/>
      <w:bookmarkStart w:id="536" w:name="_Toc238552306"/>
      <w:bookmarkStart w:id="537" w:name="_Toc301949885"/>
      <w:bookmarkStart w:id="538" w:name="_Toc306891716"/>
      <w:bookmarkStart w:id="539" w:name="_Toc238797668"/>
      <w:r>
        <w:rPr>
          <w:rFonts w:hint="eastAsia" w:ascii="宋体" w:hAnsi="宋体"/>
          <w:b/>
          <w:sz w:val="24"/>
        </w:rPr>
        <w:t>①</w:t>
      </w:r>
      <w:r>
        <w:rPr>
          <w:rFonts w:ascii="宋体" w:hAnsi="宋体"/>
          <w:b/>
          <w:sz w:val="24"/>
        </w:rPr>
        <w:t>投标人基本情况表</w:t>
      </w:r>
      <w:bookmarkEnd w:id="534"/>
      <w:bookmarkEnd w:id="535"/>
      <w:bookmarkEnd w:id="536"/>
      <w:bookmarkEnd w:id="537"/>
      <w:bookmarkEnd w:id="538"/>
      <w:bookmarkEnd w:id="539"/>
    </w:p>
    <w:tbl>
      <w:tblPr>
        <w:tblStyle w:val="39"/>
        <w:tblW w:w="8440"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0"/>
        <w:gridCol w:w="898"/>
        <w:gridCol w:w="1362"/>
        <w:gridCol w:w="750"/>
        <w:gridCol w:w="410"/>
        <w:gridCol w:w="490"/>
        <w:gridCol w:w="707"/>
        <w:gridCol w:w="371"/>
        <w:gridCol w:w="280"/>
        <w:gridCol w:w="157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投标人名称</w:t>
            </w:r>
          </w:p>
        </w:tc>
        <w:tc>
          <w:tcPr>
            <w:tcW w:w="6840" w:type="dxa"/>
            <w:gridSpan w:val="9"/>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hint="eastAsia" w:ascii="宋体" w:hAnsi="宋体"/>
                <w:szCs w:val="21"/>
              </w:rPr>
              <w:t>纳税人识别号</w:t>
            </w:r>
          </w:p>
        </w:tc>
        <w:tc>
          <w:tcPr>
            <w:tcW w:w="6840" w:type="dxa"/>
            <w:gridSpan w:val="9"/>
            <w:vAlign w:val="center"/>
          </w:tcPr>
          <w:p>
            <w:pPr>
              <w:jc w:val="left"/>
              <w:rPr>
                <w:rFonts w:ascii="楷体_GB2312" w:hAnsi="宋体" w:eastAsia="楷体_GB2312"/>
                <w:szCs w:val="21"/>
              </w:rPr>
            </w:pPr>
            <w:r>
              <w:rPr>
                <w:rFonts w:hint="eastAsia" w:ascii="楷体_GB2312" w:hAnsi="宋体" w:eastAsia="楷体_GB2312"/>
                <w:i/>
                <w:iCs/>
                <w:szCs w:val="21"/>
              </w:rPr>
              <w:t>（15位代码，国税号）或者统一社会信用代码（18位代码）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注册地址</w:t>
            </w:r>
          </w:p>
        </w:tc>
        <w:tc>
          <w:tcPr>
            <w:tcW w:w="3420" w:type="dxa"/>
            <w:gridSpan w:val="4"/>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邮政编码</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Merge w:val="restart"/>
            <w:vAlign w:val="center"/>
          </w:tcPr>
          <w:p>
            <w:pPr>
              <w:jc w:val="center"/>
              <w:rPr>
                <w:rFonts w:ascii="宋体" w:hAnsi="宋体"/>
                <w:szCs w:val="21"/>
              </w:rPr>
            </w:pPr>
            <w:r>
              <w:rPr>
                <w:rFonts w:ascii="宋体" w:hAnsi="宋体"/>
                <w:szCs w:val="21"/>
              </w:rPr>
              <w:t>联系方式</w:t>
            </w:r>
          </w:p>
        </w:tc>
        <w:tc>
          <w:tcPr>
            <w:tcW w:w="898" w:type="dxa"/>
            <w:vAlign w:val="center"/>
          </w:tcPr>
          <w:p>
            <w:pPr>
              <w:jc w:val="center"/>
              <w:rPr>
                <w:rFonts w:ascii="宋体" w:hAnsi="宋体"/>
                <w:szCs w:val="21"/>
              </w:rPr>
            </w:pPr>
            <w:r>
              <w:rPr>
                <w:rFonts w:ascii="宋体" w:hAnsi="宋体"/>
                <w:szCs w:val="21"/>
              </w:rPr>
              <w:t>联系人</w:t>
            </w:r>
          </w:p>
        </w:tc>
        <w:tc>
          <w:tcPr>
            <w:tcW w:w="2522" w:type="dxa"/>
            <w:gridSpan w:val="3"/>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电 话</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Merge w:val="continue"/>
            <w:vAlign w:val="center"/>
          </w:tcPr>
          <w:p>
            <w:pPr>
              <w:jc w:val="center"/>
              <w:rPr>
                <w:rFonts w:ascii="宋体" w:hAnsi="宋体"/>
                <w:szCs w:val="21"/>
              </w:rPr>
            </w:pPr>
          </w:p>
        </w:tc>
        <w:tc>
          <w:tcPr>
            <w:tcW w:w="898" w:type="dxa"/>
            <w:vAlign w:val="center"/>
          </w:tcPr>
          <w:p>
            <w:pPr>
              <w:jc w:val="center"/>
              <w:rPr>
                <w:rFonts w:ascii="宋体" w:hAnsi="宋体"/>
                <w:szCs w:val="21"/>
              </w:rPr>
            </w:pPr>
            <w:r>
              <w:rPr>
                <w:rFonts w:ascii="宋体" w:hAnsi="宋体"/>
                <w:szCs w:val="21"/>
              </w:rPr>
              <w:t>传  真</w:t>
            </w:r>
          </w:p>
        </w:tc>
        <w:tc>
          <w:tcPr>
            <w:tcW w:w="2522" w:type="dxa"/>
            <w:gridSpan w:val="3"/>
            <w:vAlign w:val="center"/>
          </w:tcPr>
          <w:p>
            <w:pPr>
              <w:jc w:val="left"/>
              <w:rPr>
                <w:rFonts w:ascii="楷体_GB2312" w:hAnsi="宋体" w:eastAsia="楷体_GB2312"/>
                <w:szCs w:val="21"/>
              </w:rPr>
            </w:pPr>
          </w:p>
        </w:tc>
        <w:tc>
          <w:tcPr>
            <w:tcW w:w="1197" w:type="dxa"/>
            <w:gridSpan w:val="2"/>
            <w:vAlign w:val="center"/>
          </w:tcPr>
          <w:p>
            <w:pPr>
              <w:jc w:val="center"/>
              <w:rPr>
                <w:rFonts w:ascii="宋体" w:hAnsi="宋体"/>
                <w:szCs w:val="21"/>
              </w:rPr>
            </w:pPr>
            <w:r>
              <w:rPr>
                <w:rFonts w:ascii="宋体" w:hAnsi="宋体"/>
                <w:szCs w:val="21"/>
              </w:rPr>
              <w:t>网 址</w:t>
            </w:r>
            <w:r>
              <w:rPr>
                <w:rFonts w:hint="eastAsia" w:ascii="宋体" w:hAnsi="宋体"/>
                <w:szCs w:val="21"/>
              </w:rPr>
              <w:t>（或电子邮箱）</w:t>
            </w:r>
          </w:p>
        </w:tc>
        <w:tc>
          <w:tcPr>
            <w:tcW w:w="2223" w:type="dxa"/>
            <w:gridSpan w:val="3"/>
            <w:vAlign w:val="center"/>
          </w:tcPr>
          <w:p>
            <w:pPr>
              <w:jc w:val="left"/>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组织结构</w:t>
            </w:r>
          </w:p>
        </w:tc>
        <w:tc>
          <w:tcPr>
            <w:tcW w:w="6840" w:type="dxa"/>
            <w:gridSpan w:val="9"/>
            <w:vAlign w:val="center"/>
          </w:tcPr>
          <w:p>
            <w:pP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法定代表人</w:t>
            </w:r>
          </w:p>
        </w:tc>
        <w:tc>
          <w:tcPr>
            <w:tcW w:w="898" w:type="dxa"/>
            <w:vAlign w:val="center"/>
          </w:tcPr>
          <w:p>
            <w:pPr>
              <w:jc w:val="center"/>
              <w:rPr>
                <w:rFonts w:ascii="宋体" w:hAnsi="宋体"/>
                <w:szCs w:val="21"/>
              </w:rPr>
            </w:pPr>
            <w:r>
              <w:rPr>
                <w:rFonts w:ascii="宋体" w:hAnsi="宋体"/>
                <w:szCs w:val="21"/>
              </w:rPr>
              <w:t>姓名</w:t>
            </w:r>
          </w:p>
        </w:tc>
        <w:tc>
          <w:tcPr>
            <w:tcW w:w="1362" w:type="dxa"/>
            <w:vAlign w:val="center"/>
          </w:tcPr>
          <w:p>
            <w:pPr>
              <w:jc w:val="center"/>
              <w:rPr>
                <w:rFonts w:ascii="楷体_GB2312" w:hAnsi="宋体" w:eastAsia="楷体_GB2312"/>
                <w:szCs w:val="21"/>
              </w:rPr>
            </w:pPr>
          </w:p>
        </w:tc>
        <w:tc>
          <w:tcPr>
            <w:tcW w:w="1160" w:type="dxa"/>
            <w:gridSpan w:val="2"/>
            <w:vAlign w:val="center"/>
          </w:tcPr>
          <w:p>
            <w:pPr>
              <w:jc w:val="center"/>
              <w:rPr>
                <w:rFonts w:ascii="宋体" w:hAnsi="宋体"/>
                <w:szCs w:val="21"/>
              </w:rPr>
            </w:pPr>
            <w:r>
              <w:rPr>
                <w:rFonts w:ascii="宋体" w:hAnsi="宋体"/>
                <w:szCs w:val="21"/>
              </w:rPr>
              <w:t>技术职称</w:t>
            </w:r>
          </w:p>
        </w:tc>
        <w:tc>
          <w:tcPr>
            <w:tcW w:w="1197" w:type="dxa"/>
            <w:gridSpan w:val="2"/>
            <w:vAlign w:val="center"/>
          </w:tcPr>
          <w:p>
            <w:pPr>
              <w:jc w:val="center"/>
              <w:rPr>
                <w:rFonts w:ascii="楷体_GB2312" w:hAnsi="宋体" w:eastAsia="楷体_GB2312"/>
                <w:szCs w:val="21"/>
              </w:rPr>
            </w:pPr>
          </w:p>
        </w:tc>
        <w:tc>
          <w:tcPr>
            <w:tcW w:w="651" w:type="dxa"/>
            <w:gridSpan w:val="2"/>
            <w:vAlign w:val="center"/>
          </w:tcPr>
          <w:p>
            <w:pPr>
              <w:jc w:val="center"/>
              <w:rPr>
                <w:rFonts w:ascii="宋体" w:hAnsi="宋体"/>
                <w:szCs w:val="21"/>
              </w:rPr>
            </w:pPr>
            <w:r>
              <w:rPr>
                <w:rFonts w:ascii="宋体" w:hAnsi="宋体"/>
                <w:szCs w:val="21"/>
              </w:rPr>
              <w:t>电话</w:t>
            </w:r>
          </w:p>
        </w:tc>
        <w:tc>
          <w:tcPr>
            <w:tcW w:w="1572" w:type="dxa"/>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技术负责人</w:t>
            </w:r>
          </w:p>
        </w:tc>
        <w:tc>
          <w:tcPr>
            <w:tcW w:w="898" w:type="dxa"/>
            <w:vAlign w:val="center"/>
          </w:tcPr>
          <w:p>
            <w:pPr>
              <w:jc w:val="center"/>
              <w:rPr>
                <w:rFonts w:ascii="宋体" w:hAnsi="宋体"/>
                <w:szCs w:val="21"/>
              </w:rPr>
            </w:pPr>
            <w:r>
              <w:rPr>
                <w:rFonts w:ascii="宋体" w:hAnsi="宋体"/>
                <w:szCs w:val="21"/>
              </w:rPr>
              <w:t>姓名</w:t>
            </w:r>
          </w:p>
        </w:tc>
        <w:tc>
          <w:tcPr>
            <w:tcW w:w="1362" w:type="dxa"/>
            <w:vAlign w:val="center"/>
          </w:tcPr>
          <w:p>
            <w:pPr>
              <w:jc w:val="center"/>
              <w:rPr>
                <w:rFonts w:ascii="楷体_GB2312" w:hAnsi="宋体" w:eastAsia="楷体_GB2312"/>
                <w:szCs w:val="21"/>
              </w:rPr>
            </w:pPr>
          </w:p>
        </w:tc>
        <w:tc>
          <w:tcPr>
            <w:tcW w:w="1160" w:type="dxa"/>
            <w:gridSpan w:val="2"/>
            <w:vAlign w:val="center"/>
          </w:tcPr>
          <w:p>
            <w:pPr>
              <w:jc w:val="center"/>
              <w:rPr>
                <w:rFonts w:ascii="宋体" w:hAnsi="宋体"/>
                <w:szCs w:val="21"/>
              </w:rPr>
            </w:pPr>
            <w:r>
              <w:rPr>
                <w:rFonts w:ascii="宋体" w:hAnsi="宋体"/>
                <w:szCs w:val="21"/>
              </w:rPr>
              <w:t>技术职称</w:t>
            </w:r>
          </w:p>
        </w:tc>
        <w:tc>
          <w:tcPr>
            <w:tcW w:w="1197" w:type="dxa"/>
            <w:gridSpan w:val="2"/>
            <w:vAlign w:val="center"/>
          </w:tcPr>
          <w:p>
            <w:pPr>
              <w:jc w:val="center"/>
              <w:rPr>
                <w:rFonts w:ascii="楷体_GB2312" w:hAnsi="宋体" w:eastAsia="楷体_GB2312"/>
                <w:szCs w:val="21"/>
              </w:rPr>
            </w:pPr>
          </w:p>
        </w:tc>
        <w:tc>
          <w:tcPr>
            <w:tcW w:w="651" w:type="dxa"/>
            <w:gridSpan w:val="2"/>
            <w:vAlign w:val="center"/>
          </w:tcPr>
          <w:p>
            <w:pPr>
              <w:jc w:val="center"/>
              <w:rPr>
                <w:rFonts w:ascii="宋体" w:hAnsi="宋体"/>
                <w:szCs w:val="21"/>
              </w:rPr>
            </w:pPr>
            <w:r>
              <w:rPr>
                <w:rFonts w:ascii="宋体" w:hAnsi="宋体"/>
                <w:szCs w:val="21"/>
              </w:rPr>
              <w:t>电话</w:t>
            </w:r>
          </w:p>
        </w:tc>
        <w:tc>
          <w:tcPr>
            <w:tcW w:w="1572" w:type="dxa"/>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成立时间</w:t>
            </w:r>
          </w:p>
        </w:tc>
        <w:tc>
          <w:tcPr>
            <w:tcW w:w="2260" w:type="dxa"/>
            <w:gridSpan w:val="2"/>
            <w:vAlign w:val="center"/>
          </w:tcPr>
          <w:p>
            <w:pPr>
              <w:jc w:val="center"/>
              <w:rPr>
                <w:rFonts w:ascii="楷体_GB2312" w:hAnsi="宋体" w:eastAsia="楷体_GB2312"/>
                <w:szCs w:val="21"/>
              </w:rPr>
            </w:pPr>
          </w:p>
        </w:tc>
        <w:tc>
          <w:tcPr>
            <w:tcW w:w="4580" w:type="dxa"/>
            <w:gridSpan w:val="7"/>
            <w:vAlign w:val="center"/>
          </w:tcPr>
          <w:p>
            <w:pPr>
              <w:jc w:val="center"/>
              <w:rPr>
                <w:rFonts w:ascii="宋体" w:hAnsi="宋体"/>
                <w:szCs w:val="21"/>
              </w:rPr>
            </w:pPr>
            <w:r>
              <w:rPr>
                <w:rFonts w:ascii="宋体" w:hAnsi="宋体"/>
                <w:szCs w:val="21"/>
              </w:rPr>
              <w:t>员工总人数：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营业执照号</w:t>
            </w:r>
          </w:p>
        </w:tc>
        <w:tc>
          <w:tcPr>
            <w:tcW w:w="2260" w:type="dxa"/>
            <w:gridSpan w:val="2"/>
            <w:vAlign w:val="center"/>
          </w:tcPr>
          <w:p>
            <w:pPr>
              <w:jc w:val="center"/>
              <w:rPr>
                <w:rFonts w:ascii="楷体_GB2312" w:hAnsi="宋体" w:eastAsia="楷体_GB2312"/>
                <w:szCs w:val="21"/>
              </w:rPr>
            </w:pPr>
          </w:p>
        </w:tc>
        <w:tc>
          <w:tcPr>
            <w:tcW w:w="750" w:type="dxa"/>
            <w:vMerge w:val="restart"/>
            <w:vAlign w:val="center"/>
          </w:tcPr>
          <w:p>
            <w:pPr>
              <w:jc w:val="center"/>
              <w:rPr>
                <w:rFonts w:ascii="宋体" w:hAnsi="宋体"/>
                <w:szCs w:val="21"/>
              </w:rPr>
            </w:pPr>
            <w:r>
              <w:rPr>
                <w:rFonts w:hint="eastAsia" w:ascii="宋体" w:hAnsi="宋体"/>
                <w:szCs w:val="21"/>
              </w:rPr>
              <w:t>其中</w:t>
            </w:r>
          </w:p>
        </w:tc>
        <w:tc>
          <w:tcPr>
            <w:tcW w:w="1978" w:type="dxa"/>
            <w:gridSpan w:val="4"/>
            <w:vAlign w:val="center"/>
          </w:tcPr>
          <w:p>
            <w:pPr>
              <w:jc w:val="center"/>
              <w:rPr>
                <w:rFonts w:ascii="宋体" w:hAnsi="宋体"/>
                <w:szCs w:val="21"/>
              </w:rPr>
            </w:pPr>
            <w:r>
              <w:rPr>
                <w:rFonts w:ascii="宋体" w:hAnsi="宋体"/>
                <w:szCs w:val="21"/>
              </w:rPr>
              <w:t>高级职称人员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注册资金</w:t>
            </w:r>
          </w:p>
        </w:tc>
        <w:tc>
          <w:tcPr>
            <w:tcW w:w="2260" w:type="dxa"/>
            <w:gridSpan w:val="2"/>
            <w:vAlign w:val="center"/>
          </w:tcPr>
          <w:p>
            <w:pPr>
              <w:jc w:val="center"/>
              <w:rPr>
                <w:rFonts w:ascii="楷体_GB2312" w:hAnsi="宋体" w:eastAsia="楷体_GB2312"/>
                <w:szCs w:val="21"/>
              </w:rPr>
            </w:pP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中级职称人员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开户银行</w:t>
            </w:r>
          </w:p>
        </w:tc>
        <w:tc>
          <w:tcPr>
            <w:tcW w:w="2260" w:type="dxa"/>
            <w:gridSpan w:val="2"/>
            <w:vAlign w:val="center"/>
          </w:tcPr>
          <w:p>
            <w:pPr>
              <w:jc w:val="center"/>
              <w:rPr>
                <w:rFonts w:ascii="楷体_GB2312" w:hAnsi="宋体" w:eastAsia="楷体_GB2312"/>
                <w:szCs w:val="21"/>
              </w:rPr>
            </w:pP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初级职称人员</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ascii="宋体" w:hAnsi="宋体"/>
                <w:szCs w:val="21"/>
              </w:rPr>
              <w:t>账号</w:t>
            </w:r>
          </w:p>
        </w:tc>
        <w:tc>
          <w:tcPr>
            <w:tcW w:w="2260" w:type="dxa"/>
            <w:gridSpan w:val="2"/>
            <w:vAlign w:val="center"/>
          </w:tcPr>
          <w:p>
            <w:pPr>
              <w:jc w:val="center"/>
              <w:rPr>
                <w:rFonts w:ascii="楷体_GB2312" w:hAnsi="宋体" w:eastAsia="楷体_GB2312"/>
                <w:szCs w:val="21"/>
              </w:rPr>
            </w:pPr>
            <w:r>
              <w:rPr>
                <w:rFonts w:hint="eastAsia" w:ascii="楷体_GB2312" w:hAnsi="宋体" w:eastAsia="楷体_GB2312"/>
                <w:i/>
                <w:iCs/>
                <w:szCs w:val="21"/>
              </w:rPr>
              <w:t>（在主管国税机关备案登记的银行账号）</w:t>
            </w:r>
          </w:p>
        </w:tc>
        <w:tc>
          <w:tcPr>
            <w:tcW w:w="750" w:type="dxa"/>
            <w:vMerge w:val="continue"/>
            <w:vAlign w:val="center"/>
          </w:tcPr>
          <w:p>
            <w:pPr>
              <w:jc w:val="center"/>
              <w:rPr>
                <w:rFonts w:ascii="宋体" w:hAnsi="宋体"/>
                <w:szCs w:val="21"/>
              </w:rPr>
            </w:pPr>
          </w:p>
        </w:tc>
        <w:tc>
          <w:tcPr>
            <w:tcW w:w="1978" w:type="dxa"/>
            <w:gridSpan w:val="4"/>
            <w:vAlign w:val="center"/>
          </w:tcPr>
          <w:p>
            <w:pPr>
              <w:jc w:val="center"/>
              <w:rPr>
                <w:rFonts w:ascii="宋体" w:hAnsi="宋体"/>
                <w:szCs w:val="21"/>
              </w:rPr>
            </w:pPr>
            <w:r>
              <w:rPr>
                <w:rFonts w:ascii="宋体" w:hAnsi="宋体"/>
                <w:szCs w:val="21"/>
              </w:rPr>
              <w:t>技工</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59" w:hRule="atLeast"/>
          <w:jc w:val="center"/>
        </w:trPr>
        <w:tc>
          <w:tcPr>
            <w:tcW w:w="1600" w:type="dxa"/>
            <w:vAlign w:val="center"/>
          </w:tcPr>
          <w:p>
            <w:pPr>
              <w:jc w:val="center"/>
              <w:rPr>
                <w:rFonts w:ascii="宋体" w:hAnsi="宋体"/>
                <w:szCs w:val="21"/>
              </w:rPr>
            </w:pPr>
            <w:r>
              <w:rPr>
                <w:rFonts w:ascii="宋体" w:hAnsi="宋体"/>
                <w:szCs w:val="21"/>
              </w:rPr>
              <w:t>经营范围</w:t>
            </w:r>
          </w:p>
        </w:tc>
        <w:tc>
          <w:tcPr>
            <w:tcW w:w="6840" w:type="dxa"/>
            <w:gridSpan w:val="9"/>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hint="eastAsia" w:ascii="宋体" w:hAnsi="宋体"/>
                <w:szCs w:val="21"/>
              </w:rPr>
              <w:t>纳税人身份</w:t>
            </w:r>
          </w:p>
        </w:tc>
        <w:tc>
          <w:tcPr>
            <w:tcW w:w="2260" w:type="dxa"/>
            <w:gridSpan w:val="2"/>
            <w:vAlign w:val="center"/>
          </w:tcPr>
          <w:p>
            <w:pPr>
              <w:jc w:val="center"/>
              <w:rPr>
                <w:rFonts w:ascii="楷体_GB2312" w:hAnsi="宋体" w:eastAsia="楷体_GB2312"/>
                <w:i/>
                <w:iCs/>
                <w:szCs w:val="21"/>
              </w:rPr>
            </w:pPr>
          </w:p>
        </w:tc>
        <w:tc>
          <w:tcPr>
            <w:tcW w:w="2728" w:type="dxa"/>
            <w:gridSpan w:val="5"/>
            <w:vAlign w:val="center"/>
          </w:tcPr>
          <w:p>
            <w:pPr>
              <w:jc w:val="center"/>
              <w:rPr>
                <w:rFonts w:ascii="宋体" w:hAnsi="宋体"/>
                <w:szCs w:val="21"/>
              </w:rPr>
            </w:pPr>
            <w:r>
              <w:rPr>
                <w:rFonts w:hint="eastAsia" w:ascii="宋体" w:hAnsi="宋体"/>
                <w:szCs w:val="21"/>
              </w:rPr>
              <w:t>可开具的增值税发票类型</w:t>
            </w:r>
          </w:p>
        </w:tc>
        <w:tc>
          <w:tcPr>
            <w:tcW w:w="1852" w:type="dxa"/>
            <w:gridSpan w:val="2"/>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hint="eastAsia" w:ascii="宋体" w:hAnsi="宋体"/>
                <w:szCs w:val="21"/>
              </w:rPr>
              <w:t>发票联系人</w:t>
            </w:r>
          </w:p>
        </w:tc>
        <w:tc>
          <w:tcPr>
            <w:tcW w:w="2260" w:type="dxa"/>
            <w:gridSpan w:val="2"/>
            <w:vAlign w:val="center"/>
          </w:tcPr>
          <w:p>
            <w:pPr>
              <w:jc w:val="center"/>
              <w:rPr>
                <w:rFonts w:ascii="楷体_GB2312" w:hAnsi="宋体" w:eastAsia="楷体_GB2312"/>
                <w:i/>
                <w:iCs/>
                <w:szCs w:val="21"/>
              </w:rPr>
            </w:pPr>
          </w:p>
        </w:tc>
        <w:tc>
          <w:tcPr>
            <w:tcW w:w="1650" w:type="dxa"/>
            <w:gridSpan w:val="3"/>
            <w:vAlign w:val="center"/>
          </w:tcPr>
          <w:p>
            <w:pPr>
              <w:jc w:val="center"/>
              <w:rPr>
                <w:rFonts w:ascii="宋体" w:hAnsi="宋体"/>
                <w:szCs w:val="21"/>
              </w:rPr>
            </w:pPr>
            <w:r>
              <w:rPr>
                <w:rFonts w:hint="eastAsia" w:ascii="宋体" w:hAnsi="宋体"/>
                <w:szCs w:val="21"/>
              </w:rPr>
              <w:t>联系电话</w:t>
            </w:r>
          </w:p>
        </w:tc>
        <w:tc>
          <w:tcPr>
            <w:tcW w:w="2930" w:type="dxa"/>
            <w:gridSpan w:val="4"/>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0" w:type="dxa"/>
            <w:vAlign w:val="center"/>
          </w:tcPr>
          <w:p>
            <w:pPr>
              <w:jc w:val="center"/>
              <w:rPr>
                <w:rFonts w:ascii="宋体" w:hAnsi="宋体"/>
                <w:szCs w:val="21"/>
              </w:rPr>
            </w:pPr>
            <w:r>
              <w:rPr>
                <w:rFonts w:hint="eastAsia" w:ascii="宋体" w:hAnsi="宋体"/>
                <w:szCs w:val="21"/>
              </w:rPr>
              <w:t>身份证号码</w:t>
            </w:r>
          </w:p>
        </w:tc>
        <w:tc>
          <w:tcPr>
            <w:tcW w:w="2260" w:type="dxa"/>
            <w:gridSpan w:val="2"/>
            <w:vAlign w:val="center"/>
          </w:tcPr>
          <w:p>
            <w:pPr>
              <w:jc w:val="center"/>
              <w:rPr>
                <w:rFonts w:ascii="楷体_GB2312" w:hAnsi="宋体" w:eastAsia="楷体_GB2312"/>
                <w:i/>
                <w:iCs/>
                <w:szCs w:val="21"/>
              </w:rPr>
            </w:pPr>
          </w:p>
        </w:tc>
        <w:tc>
          <w:tcPr>
            <w:tcW w:w="1650" w:type="dxa"/>
            <w:gridSpan w:val="3"/>
            <w:vAlign w:val="center"/>
          </w:tcPr>
          <w:p>
            <w:pPr>
              <w:jc w:val="center"/>
              <w:rPr>
                <w:rFonts w:ascii="宋体" w:hAnsi="宋体"/>
                <w:szCs w:val="21"/>
              </w:rPr>
            </w:pPr>
            <w:r>
              <w:rPr>
                <w:rFonts w:hint="eastAsia" w:ascii="宋体" w:hAnsi="宋体"/>
                <w:szCs w:val="21"/>
              </w:rPr>
              <w:t>电子邮件</w:t>
            </w:r>
          </w:p>
        </w:tc>
        <w:tc>
          <w:tcPr>
            <w:tcW w:w="2930" w:type="dxa"/>
            <w:gridSpan w:val="4"/>
            <w:vAlign w:val="center"/>
          </w:tcPr>
          <w:p>
            <w:pPr>
              <w:jc w:val="center"/>
              <w:rPr>
                <w:rFonts w:ascii="楷体_GB2312" w:hAnsi="宋体" w:eastAsia="楷体_GB2312"/>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407" w:hRule="atLeast"/>
          <w:jc w:val="center"/>
        </w:trPr>
        <w:tc>
          <w:tcPr>
            <w:tcW w:w="1600" w:type="dxa"/>
            <w:vAlign w:val="center"/>
          </w:tcPr>
          <w:p>
            <w:pPr>
              <w:jc w:val="center"/>
              <w:rPr>
                <w:rFonts w:ascii="宋体" w:hAnsi="宋体"/>
                <w:szCs w:val="21"/>
              </w:rPr>
            </w:pPr>
            <w:r>
              <w:rPr>
                <w:rFonts w:hint="eastAsia" w:ascii="宋体" w:hAnsi="宋体"/>
                <w:szCs w:val="21"/>
              </w:rPr>
              <w:t>税务登记</w:t>
            </w:r>
          </w:p>
          <w:p>
            <w:pPr>
              <w:jc w:val="center"/>
              <w:rPr>
                <w:rFonts w:ascii="宋体" w:hAnsi="宋体"/>
                <w:szCs w:val="21"/>
              </w:rPr>
            </w:pPr>
            <w:r>
              <w:rPr>
                <w:rFonts w:hint="eastAsia" w:ascii="宋体" w:hAnsi="宋体"/>
                <w:szCs w:val="21"/>
              </w:rPr>
              <w:t>证明资料</w:t>
            </w:r>
          </w:p>
        </w:tc>
        <w:tc>
          <w:tcPr>
            <w:tcW w:w="6840" w:type="dxa"/>
            <w:gridSpan w:val="9"/>
            <w:vAlign w:val="center"/>
          </w:tcPr>
          <w:p>
            <w:pPr>
              <w:jc w:val="left"/>
              <w:rPr>
                <w:rFonts w:ascii="楷体_GB2312" w:hAnsi="宋体" w:eastAsia="楷体_GB2312"/>
                <w:szCs w:val="21"/>
              </w:rPr>
            </w:pPr>
            <w:r>
              <w:rPr>
                <w:rFonts w:hint="eastAsia" w:ascii="楷体_GB2312" w:hAnsi="宋体" w:eastAsia="楷体_GB2312"/>
              </w:rPr>
              <w:t>一般纳税人需提供《增值税一般纳税人资格登记表》复印件或《国税税务登记证副本》（含一般纳税人证明页）复印件；小规模纳税人需提供《营业执照》或《国税税务登记证副本》复印件。税务登记证明材料复印件必须加盖公司印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167" w:hRule="atLeast"/>
          <w:jc w:val="center"/>
        </w:trPr>
        <w:tc>
          <w:tcPr>
            <w:tcW w:w="1600" w:type="dxa"/>
            <w:vAlign w:val="center"/>
          </w:tcPr>
          <w:p>
            <w:pPr>
              <w:jc w:val="center"/>
              <w:rPr>
                <w:rFonts w:ascii="宋体" w:hAnsi="宋体"/>
                <w:szCs w:val="21"/>
              </w:rPr>
            </w:pPr>
            <w:r>
              <w:rPr>
                <w:rFonts w:hint="eastAsia" w:ascii="宋体" w:hAnsi="宋体"/>
                <w:szCs w:val="21"/>
              </w:rPr>
              <w:t>备注</w:t>
            </w:r>
          </w:p>
        </w:tc>
        <w:tc>
          <w:tcPr>
            <w:tcW w:w="6840" w:type="dxa"/>
            <w:gridSpan w:val="9"/>
            <w:vAlign w:val="center"/>
          </w:tcPr>
          <w:p>
            <w:pPr>
              <w:jc w:val="left"/>
              <w:rPr>
                <w:rFonts w:ascii="楷体_GB2312" w:hAnsi="宋体" w:eastAsia="楷体_GB2312"/>
              </w:rPr>
            </w:pPr>
            <w:r>
              <w:rPr>
                <w:rFonts w:hint="eastAsia" w:ascii="楷体_GB2312" w:hAnsi="宋体" w:eastAsia="楷体_GB2312"/>
              </w:rPr>
              <w:t>投标货物需由投标人安装的，附相关安装资质复印件或彩色扫描件。对投标物资需经国家行政许可或特别要求的，需附生产企业的以上证照和相关许可证书或文件等。</w:t>
            </w:r>
          </w:p>
        </w:tc>
      </w:tr>
    </w:tbl>
    <w:p>
      <w:pPr>
        <w:pStyle w:val="48"/>
        <w:tabs>
          <w:tab w:val="left" w:pos="426"/>
        </w:tabs>
        <w:spacing w:line="276" w:lineRule="auto"/>
        <w:ind w:firstLine="0" w:firstLineChars="0"/>
        <w:rPr>
          <w:rFonts w:ascii="宋体" w:hAnsi="宋体"/>
          <w:b/>
          <w:sz w:val="24"/>
        </w:rPr>
      </w:pPr>
      <w:bookmarkStart w:id="540" w:name="_Toc238552307"/>
      <w:bookmarkStart w:id="541" w:name="_Toc238797669"/>
      <w:bookmarkStart w:id="542" w:name="_Toc321997912"/>
      <w:bookmarkStart w:id="543" w:name="_Toc306891717"/>
      <w:bookmarkStart w:id="544" w:name="_Toc301949886"/>
      <w:bookmarkStart w:id="545" w:name="_Toc262740159"/>
      <w:r>
        <w:rPr>
          <w:rFonts w:hint="eastAsia" w:ascii="宋体" w:hAnsi="宋体"/>
          <w:b/>
          <w:sz w:val="24"/>
        </w:rPr>
        <w:t>②生产能力</w:t>
      </w:r>
      <w:bookmarkEnd w:id="540"/>
      <w:r>
        <w:rPr>
          <w:rFonts w:hint="eastAsia" w:ascii="宋体" w:hAnsi="宋体"/>
          <w:b/>
          <w:sz w:val="24"/>
        </w:rPr>
        <w:t>证明</w:t>
      </w:r>
      <w:bookmarkEnd w:id="541"/>
      <w:bookmarkEnd w:id="542"/>
      <w:bookmarkEnd w:id="543"/>
      <w:bookmarkEnd w:id="544"/>
      <w:bookmarkEnd w:id="545"/>
    </w:p>
    <w:p>
      <w:pPr>
        <w:spacing w:line="276" w:lineRule="auto"/>
        <w:ind w:firstLine="480" w:firstLineChars="200"/>
        <w:rPr>
          <w:sz w:val="24"/>
        </w:rPr>
      </w:pPr>
      <w:r>
        <w:rPr>
          <w:rFonts w:hint="eastAsia" w:ascii="宋体" w:hAnsi="宋体"/>
          <w:sz w:val="24"/>
        </w:rPr>
        <w:t>投标人为生产企业的，附企业的主要生产设备型号、台套数或生产线条数，日平均生产能力、所生产产品的规格型号和相应检测设备（设施）等证明材料；投标人为经销商（代理商）的，附所代理投标品牌的生产企业的书面授权书，以及其它确保稳定、持续供货的证明材料。</w:t>
      </w:r>
    </w:p>
    <w:p>
      <w:pPr>
        <w:pStyle w:val="48"/>
        <w:tabs>
          <w:tab w:val="left" w:pos="426"/>
        </w:tabs>
        <w:spacing w:line="276" w:lineRule="auto"/>
        <w:ind w:firstLine="0" w:firstLineChars="0"/>
        <w:rPr>
          <w:rFonts w:ascii="宋体" w:hAnsi="宋体"/>
          <w:b/>
          <w:sz w:val="24"/>
        </w:rPr>
      </w:pPr>
      <w:bookmarkStart w:id="546" w:name="_Toc238552309"/>
      <w:bookmarkStart w:id="547" w:name="_Toc306891719"/>
      <w:bookmarkStart w:id="548" w:name="_Toc321997914"/>
      <w:bookmarkStart w:id="549" w:name="_Toc301949888"/>
      <w:bookmarkStart w:id="550" w:name="_Toc262740161"/>
      <w:bookmarkStart w:id="551" w:name="_Toc238797671"/>
      <w:bookmarkStart w:id="552" w:name="_Toc306891718"/>
      <w:bookmarkStart w:id="553" w:name="_Toc262740160"/>
      <w:bookmarkStart w:id="554" w:name="_Toc238797670"/>
      <w:bookmarkStart w:id="555" w:name="_Toc321997913"/>
      <w:bookmarkStart w:id="556" w:name="_Toc238552308"/>
      <w:bookmarkStart w:id="557" w:name="_Toc301949887"/>
      <w:r>
        <w:rPr>
          <w:rFonts w:hint="eastAsia" w:ascii="宋体" w:hAnsi="宋体"/>
          <w:b/>
          <w:sz w:val="24"/>
        </w:rPr>
        <w:t>③质量保证能力</w:t>
      </w:r>
      <w:bookmarkEnd w:id="546"/>
      <w:r>
        <w:rPr>
          <w:rFonts w:hint="eastAsia" w:ascii="宋体" w:hAnsi="宋体"/>
          <w:b/>
          <w:sz w:val="24"/>
        </w:rPr>
        <w:t>证明</w:t>
      </w:r>
      <w:bookmarkEnd w:id="547"/>
      <w:bookmarkEnd w:id="548"/>
      <w:bookmarkEnd w:id="549"/>
      <w:bookmarkEnd w:id="550"/>
      <w:bookmarkEnd w:id="551"/>
    </w:p>
    <w:p>
      <w:pPr>
        <w:spacing w:line="276" w:lineRule="auto"/>
        <w:ind w:firstLine="480" w:firstLineChars="200"/>
        <w:rPr>
          <w:rFonts w:ascii="宋体" w:hAnsi="宋体"/>
          <w:b/>
          <w:sz w:val="24"/>
        </w:rPr>
      </w:pPr>
      <w:r>
        <w:rPr>
          <w:rFonts w:hint="eastAsia" w:ascii="宋体" w:hAnsi="宋体"/>
          <w:sz w:val="24"/>
        </w:rPr>
        <w:t>附投标人及生产企业的相关认证证书复印件（如ISO9000质量管理体系认证、CRCC认证、3C认证等）、产品质量保证措施、权威机构出具的产品质量检验报告。</w:t>
      </w:r>
    </w:p>
    <w:p>
      <w:pPr>
        <w:pStyle w:val="48"/>
        <w:tabs>
          <w:tab w:val="left" w:pos="426"/>
        </w:tabs>
        <w:spacing w:line="276" w:lineRule="auto"/>
        <w:ind w:firstLine="0" w:firstLineChars="0"/>
        <w:rPr>
          <w:rFonts w:ascii="宋体" w:hAnsi="宋体"/>
          <w:b/>
          <w:sz w:val="24"/>
        </w:rPr>
      </w:pPr>
      <w:r>
        <w:rPr>
          <w:rFonts w:hint="eastAsia" w:ascii="宋体" w:hAnsi="宋体"/>
          <w:b/>
          <w:sz w:val="24"/>
        </w:rPr>
        <w:t>④</w:t>
      </w:r>
      <w:r>
        <w:rPr>
          <w:rFonts w:ascii="宋体" w:hAnsi="宋体"/>
          <w:b/>
          <w:sz w:val="24"/>
        </w:rPr>
        <w:t>近年财务状况表</w:t>
      </w:r>
      <w:bookmarkEnd w:id="552"/>
      <w:bookmarkEnd w:id="553"/>
      <w:bookmarkEnd w:id="554"/>
      <w:bookmarkEnd w:id="555"/>
      <w:bookmarkEnd w:id="556"/>
      <w:bookmarkEnd w:id="557"/>
    </w:p>
    <w:p>
      <w:pPr>
        <w:spacing w:line="276" w:lineRule="auto"/>
        <w:ind w:firstLine="480" w:firstLineChars="200"/>
        <w:rPr>
          <w:rFonts w:ascii="宋体" w:hAnsi="宋体"/>
          <w:sz w:val="24"/>
        </w:rPr>
      </w:pPr>
      <w:r>
        <w:rPr>
          <w:rFonts w:hint="eastAsia" w:ascii="宋体" w:hAnsi="宋体"/>
          <w:sz w:val="24"/>
        </w:rPr>
        <w:t>附经会计师事务所或审计机构审计的财务会计报表，包括资产负债表、现金流量表、利润表和财务情况说明书的复印件，以及审计单位的相关资质证照复印件。</w:t>
      </w:r>
      <w:bookmarkStart w:id="558" w:name="_Toc238552312"/>
      <w:bookmarkStart w:id="559" w:name="_Toc321997917"/>
      <w:bookmarkStart w:id="560" w:name="_Toc238797674"/>
      <w:bookmarkStart w:id="561" w:name="_Toc262740164"/>
      <w:bookmarkStart w:id="562" w:name="_Toc301949891"/>
      <w:bookmarkStart w:id="563" w:name="_Toc306891722"/>
    </w:p>
    <w:p>
      <w:pPr>
        <w:pStyle w:val="48"/>
        <w:tabs>
          <w:tab w:val="left" w:pos="426"/>
        </w:tabs>
        <w:spacing w:line="276" w:lineRule="auto"/>
        <w:ind w:firstLine="0" w:firstLineChars="0"/>
        <w:rPr>
          <w:rFonts w:ascii="宋体" w:hAnsi="宋体"/>
          <w:b/>
          <w:sz w:val="24"/>
        </w:rPr>
      </w:pPr>
      <w:r>
        <w:rPr>
          <w:rFonts w:hint="eastAsia" w:ascii="宋体" w:hAnsi="宋体"/>
          <w:b/>
          <w:sz w:val="24"/>
        </w:rPr>
        <w:t>⑤</w:t>
      </w:r>
      <w:r>
        <w:rPr>
          <w:rFonts w:ascii="宋体" w:hAnsi="宋体"/>
          <w:b/>
          <w:sz w:val="24"/>
        </w:rPr>
        <w:t>正在</w:t>
      </w:r>
      <w:r>
        <w:rPr>
          <w:rFonts w:hint="eastAsia" w:ascii="宋体" w:hAnsi="宋体"/>
          <w:b/>
          <w:sz w:val="24"/>
        </w:rPr>
        <w:t>实施</w:t>
      </w:r>
      <w:r>
        <w:rPr>
          <w:rFonts w:ascii="宋体" w:hAnsi="宋体"/>
          <w:b/>
          <w:sz w:val="24"/>
        </w:rPr>
        <w:t>和新承接</w:t>
      </w:r>
      <w:r>
        <w:rPr>
          <w:rFonts w:hint="eastAsia" w:ascii="宋体" w:hAnsi="宋体"/>
          <w:b/>
          <w:sz w:val="24"/>
        </w:rPr>
        <w:t>的同类投标物资合同</w:t>
      </w:r>
      <w:r>
        <w:rPr>
          <w:rFonts w:ascii="宋体" w:hAnsi="宋体"/>
          <w:b/>
          <w:sz w:val="24"/>
        </w:rPr>
        <w:t>情况表</w:t>
      </w:r>
      <w:bookmarkEnd w:id="558"/>
      <w:bookmarkEnd w:id="559"/>
      <w:bookmarkEnd w:id="560"/>
      <w:bookmarkEnd w:id="561"/>
      <w:bookmarkEnd w:id="562"/>
      <w:bookmarkEnd w:id="563"/>
    </w:p>
    <w:tbl>
      <w:tblPr>
        <w:tblStyle w:val="39"/>
        <w:tblW w:w="839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601"/>
        <w:gridCol w:w="2264"/>
        <w:gridCol w:w="2264"/>
        <w:gridCol w:w="226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tcBorders>
              <w:top w:val="single" w:color="auto" w:sz="12" w:space="0"/>
              <w:bottom w:val="single" w:color="auto" w:sz="6" w:space="0"/>
              <w:tl2br w:val="single" w:color="auto" w:sz="6" w:space="0"/>
            </w:tcBorders>
            <w:vAlign w:val="center"/>
          </w:tcPr>
          <w:p>
            <w:pPr>
              <w:jc w:val="right"/>
              <w:rPr>
                <w:rFonts w:ascii="宋体" w:hAnsi="宋体"/>
                <w:szCs w:val="21"/>
              </w:rPr>
            </w:pPr>
            <w:r>
              <w:rPr>
                <w:rFonts w:hint="eastAsia" w:ascii="宋体" w:hAnsi="宋体"/>
                <w:szCs w:val="21"/>
              </w:rPr>
              <w:t>业绩</w:t>
            </w:r>
          </w:p>
          <w:p>
            <w:pPr>
              <w:jc w:val="left"/>
              <w:rPr>
                <w:rFonts w:ascii="宋体" w:hAnsi="宋体"/>
                <w:szCs w:val="21"/>
              </w:rPr>
            </w:pPr>
            <w:r>
              <w:rPr>
                <w:rFonts w:hint="eastAsia" w:ascii="宋体" w:hAnsi="宋体"/>
                <w:szCs w:val="21"/>
              </w:rPr>
              <w:t>合同内容</w:t>
            </w:r>
          </w:p>
        </w:tc>
        <w:tc>
          <w:tcPr>
            <w:tcW w:w="2264" w:type="dxa"/>
            <w:vAlign w:val="center"/>
          </w:tcPr>
          <w:p>
            <w:pPr>
              <w:jc w:val="center"/>
              <w:rPr>
                <w:rFonts w:ascii="宋体" w:hAnsi="宋体"/>
                <w:szCs w:val="21"/>
              </w:rPr>
            </w:pPr>
            <w:r>
              <w:rPr>
                <w:rFonts w:hint="eastAsia" w:ascii="宋体" w:hAnsi="宋体"/>
                <w:szCs w:val="21"/>
              </w:rPr>
              <w:t>合同1</w:t>
            </w:r>
          </w:p>
        </w:tc>
        <w:tc>
          <w:tcPr>
            <w:tcW w:w="2264" w:type="dxa"/>
            <w:vAlign w:val="center"/>
          </w:tcPr>
          <w:p>
            <w:pPr>
              <w:jc w:val="center"/>
              <w:rPr>
                <w:rFonts w:ascii="宋体" w:hAnsi="宋体"/>
                <w:szCs w:val="21"/>
              </w:rPr>
            </w:pPr>
            <w:r>
              <w:rPr>
                <w:rFonts w:hint="eastAsia" w:ascii="宋体" w:hAnsi="宋体"/>
                <w:szCs w:val="21"/>
              </w:rPr>
              <w:t>合同2</w:t>
            </w:r>
          </w:p>
        </w:tc>
        <w:tc>
          <w:tcPr>
            <w:tcW w:w="2264" w:type="dxa"/>
            <w:vAlign w:val="center"/>
          </w:tcPr>
          <w:p>
            <w:pPr>
              <w:jc w:val="center"/>
              <w:rPr>
                <w:rFonts w:ascii="宋体" w:hAnsi="宋体"/>
                <w:szCs w:val="21"/>
              </w:rPr>
            </w:pPr>
            <w:r>
              <w:rPr>
                <w:rFonts w:hint="eastAsia" w:ascii="宋体" w:hAnsi="宋体"/>
                <w:szCs w:val="21"/>
              </w:rPr>
              <w:t>合同3</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tcBorders>
              <w:top w:val="single" w:color="auto" w:sz="6" w:space="0"/>
            </w:tcBorders>
            <w:vAlign w:val="center"/>
          </w:tcPr>
          <w:p>
            <w:pPr>
              <w:jc w:val="center"/>
              <w:rPr>
                <w:rFonts w:ascii="宋体" w:hAnsi="宋体"/>
                <w:szCs w:val="21"/>
              </w:rPr>
            </w:pPr>
            <w:r>
              <w:rPr>
                <w:rFonts w:ascii="宋体" w:hAnsi="宋体"/>
                <w:szCs w:val="21"/>
              </w:rPr>
              <w:t>项目名称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项目所在地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人名称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地址</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采购</w:t>
            </w:r>
            <w:r>
              <w:rPr>
                <w:rFonts w:ascii="宋体" w:hAnsi="宋体"/>
                <w:szCs w:val="21"/>
              </w:rPr>
              <w:t>人电话</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签约合同价</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szCs w:val="21"/>
              </w:rPr>
              <w:t>交货起始</w:t>
            </w:r>
            <w:r>
              <w:rPr>
                <w:rFonts w:ascii="宋体" w:hAnsi="宋体"/>
                <w:szCs w:val="21"/>
              </w:rPr>
              <w:t>日期</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hint="eastAsia" w:ascii="宋体" w:hAnsi="宋体"/>
              </w:rPr>
              <w:t>最终交货</w:t>
            </w:r>
            <w:r>
              <w:rPr>
                <w:rFonts w:ascii="宋体" w:hAnsi="宋体"/>
                <w:szCs w:val="21"/>
              </w:rPr>
              <w:t>日期</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54" w:hRule="atLeast"/>
          <w:jc w:val="center"/>
        </w:trPr>
        <w:tc>
          <w:tcPr>
            <w:tcW w:w="1601" w:type="dxa"/>
            <w:vAlign w:val="center"/>
          </w:tcPr>
          <w:p>
            <w:pPr>
              <w:jc w:val="center"/>
              <w:rPr>
                <w:rFonts w:ascii="宋体" w:hAnsi="宋体"/>
                <w:szCs w:val="21"/>
              </w:rPr>
            </w:pPr>
            <w:r>
              <w:rPr>
                <w:rFonts w:ascii="宋体" w:hAnsi="宋体"/>
                <w:szCs w:val="21"/>
              </w:rPr>
              <w:t>项目描述</w:t>
            </w:r>
          </w:p>
        </w:tc>
        <w:tc>
          <w:tcPr>
            <w:tcW w:w="2264" w:type="dxa"/>
            <w:vAlign w:val="center"/>
          </w:tcPr>
          <w:p>
            <w:pPr>
              <w:rPr>
                <w:rFonts w:ascii="宋体" w:hAnsi="宋体"/>
                <w:szCs w:val="21"/>
              </w:rPr>
            </w:pPr>
          </w:p>
        </w:tc>
        <w:tc>
          <w:tcPr>
            <w:tcW w:w="2264" w:type="dxa"/>
            <w:vAlign w:val="center"/>
          </w:tcPr>
          <w:p>
            <w:pPr>
              <w:rPr>
                <w:rFonts w:ascii="宋体" w:hAnsi="宋体"/>
                <w:szCs w:val="21"/>
              </w:rPr>
            </w:pPr>
          </w:p>
        </w:tc>
        <w:tc>
          <w:tcPr>
            <w:tcW w:w="2264" w:type="dxa"/>
            <w:vAlign w:val="center"/>
          </w:tcPr>
          <w:p>
            <w:pPr>
              <w:rPr>
                <w:rFonts w:ascii="宋体" w:hAnsi="宋体"/>
                <w:szCs w:val="21"/>
              </w:rPr>
            </w:pPr>
          </w:p>
        </w:tc>
      </w:tr>
    </w:tbl>
    <w:p>
      <w:pPr>
        <w:pStyle w:val="48"/>
        <w:tabs>
          <w:tab w:val="left" w:pos="426"/>
        </w:tabs>
        <w:spacing w:line="300" w:lineRule="auto"/>
        <w:ind w:firstLine="0" w:firstLineChars="0"/>
        <w:rPr>
          <w:rFonts w:ascii="楷体_GB2312" w:hAnsi="宋体" w:eastAsia="楷体_GB2312"/>
        </w:rPr>
      </w:pPr>
      <w:bookmarkStart w:id="564" w:name="_Toc238552313"/>
      <w:bookmarkStart w:id="565" w:name="_Toc238797675"/>
      <w:bookmarkStart w:id="566" w:name="_Toc262740165"/>
      <w:bookmarkStart w:id="567" w:name="_Toc321997918"/>
      <w:bookmarkStart w:id="568" w:name="_Toc306891723"/>
      <w:bookmarkStart w:id="569" w:name="_Toc301949892"/>
      <w:r>
        <w:rPr>
          <w:rFonts w:hint="eastAsia" w:ascii="黑体" w:hAnsi="宋体" w:eastAsia="黑体"/>
        </w:rPr>
        <w:t>说明</w:t>
      </w:r>
      <w:r>
        <w:rPr>
          <w:rFonts w:hint="eastAsia" w:ascii="宋体" w:hAnsi="宋体"/>
        </w:rPr>
        <w:t>：</w:t>
      </w:r>
      <w:r>
        <w:rPr>
          <w:rFonts w:hint="eastAsia" w:ascii="楷体_GB2312" w:hAnsi="宋体" w:eastAsia="楷体_GB2312"/>
        </w:rPr>
        <w:t>每个合同需附中标通知书和合同协议书复印件。</w:t>
      </w:r>
    </w:p>
    <w:p>
      <w:pPr>
        <w:pStyle w:val="48"/>
        <w:tabs>
          <w:tab w:val="left" w:pos="426"/>
        </w:tabs>
        <w:spacing w:line="300" w:lineRule="auto"/>
        <w:ind w:firstLine="0" w:firstLineChars="0"/>
        <w:rPr>
          <w:rFonts w:ascii="宋体" w:hAnsi="宋体"/>
          <w:b/>
          <w:sz w:val="24"/>
        </w:rPr>
      </w:pPr>
      <w:r>
        <w:rPr>
          <w:rFonts w:hint="eastAsia" w:ascii="宋体" w:hAnsi="宋体"/>
          <w:b/>
          <w:sz w:val="24"/>
        </w:rPr>
        <w:t>⑥</w:t>
      </w:r>
      <w:r>
        <w:rPr>
          <w:rFonts w:ascii="宋体" w:hAnsi="宋体"/>
          <w:b/>
          <w:sz w:val="24"/>
        </w:rPr>
        <w:t>近年发生的诉讼及仲裁情况</w:t>
      </w:r>
      <w:bookmarkEnd w:id="564"/>
      <w:bookmarkEnd w:id="565"/>
      <w:bookmarkEnd w:id="566"/>
      <w:bookmarkEnd w:id="567"/>
      <w:bookmarkEnd w:id="568"/>
      <w:bookmarkEnd w:id="569"/>
    </w:p>
    <w:p>
      <w:pPr>
        <w:spacing w:line="300" w:lineRule="auto"/>
        <w:ind w:firstLine="480" w:firstLineChars="200"/>
        <w:rPr>
          <w:rFonts w:ascii="宋体" w:hAnsi="宋体"/>
          <w:sz w:val="24"/>
        </w:rPr>
      </w:pPr>
      <w:r>
        <w:rPr>
          <w:rFonts w:hint="eastAsia" w:ascii="宋体" w:hAnsi="宋体"/>
          <w:sz w:val="24"/>
        </w:rPr>
        <w:t>应说明相关情况，并附法院或仲裁机构作出的判决、裁决等有关法律文书复印件。</w:t>
      </w:r>
    </w:p>
    <w:tbl>
      <w:tblPr>
        <w:tblStyle w:val="40"/>
        <w:tblW w:w="8751" w:type="dxa"/>
        <w:jc w:val="center"/>
        <w:tblInd w:w="0" w:type="dxa"/>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
      <w:tblGrid>
        <w:gridCol w:w="756"/>
        <w:gridCol w:w="1066"/>
        <w:gridCol w:w="1066"/>
        <w:gridCol w:w="1066"/>
        <w:gridCol w:w="1066"/>
        <w:gridCol w:w="1066"/>
        <w:gridCol w:w="1066"/>
        <w:gridCol w:w="954"/>
        <w:gridCol w:w="645"/>
      </w:tblGrid>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r>
              <w:rPr>
                <w:rFonts w:hint="eastAsia" w:ascii="宋体" w:hAnsi="宋体"/>
                <w:sz w:val="18"/>
                <w:szCs w:val="18"/>
              </w:rPr>
              <w:t>序号</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日期</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起诉人</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被诉人</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诉讼原因</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诉讼事件</w:t>
            </w:r>
          </w:p>
        </w:tc>
        <w:tc>
          <w:tcPr>
            <w:tcW w:w="1066" w:type="dxa"/>
            <w:vAlign w:val="center"/>
          </w:tcPr>
          <w:p>
            <w:pPr>
              <w:adjustRightInd w:val="0"/>
              <w:snapToGrid w:val="0"/>
              <w:jc w:val="center"/>
              <w:rPr>
                <w:rFonts w:ascii="宋体" w:hAnsi="宋体"/>
                <w:sz w:val="18"/>
                <w:szCs w:val="18"/>
              </w:rPr>
            </w:pPr>
            <w:r>
              <w:rPr>
                <w:rFonts w:hint="eastAsia" w:ascii="宋体" w:hAnsi="宋体"/>
                <w:sz w:val="18"/>
                <w:szCs w:val="18"/>
              </w:rPr>
              <w:t>诉讼金额</w:t>
            </w:r>
          </w:p>
        </w:tc>
        <w:tc>
          <w:tcPr>
            <w:tcW w:w="954" w:type="dxa"/>
            <w:vAlign w:val="center"/>
          </w:tcPr>
          <w:p>
            <w:pPr>
              <w:adjustRightInd w:val="0"/>
              <w:snapToGrid w:val="0"/>
              <w:jc w:val="center"/>
              <w:rPr>
                <w:rFonts w:ascii="宋体" w:hAnsi="宋体"/>
                <w:sz w:val="18"/>
                <w:szCs w:val="18"/>
              </w:rPr>
            </w:pPr>
            <w:r>
              <w:rPr>
                <w:rFonts w:hint="eastAsia" w:ascii="宋体" w:hAnsi="宋体"/>
                <w:sz w:val="18"/>
                <w:szCs w:val="18"/>
              </w:rPr>
              <w:t>诉讼结果</w:t>
            </w:r>
          </w:p>
        </w:tc>
        <w:tc>
          <w:tcPr>
            <w:tcW w:w="645" w:type="dxa"/>
            <w:vAlign w:val="center"/>
          </w:tcPr>
          <w:p>
            <w:pPr>
              <w:adjustRightInd w:val="0"/>
              <w:snapToGrid w:val="0"/>
              <w:jc w:val="center"/>
              <w:rPr>
                <w:rFonts w:ascii="宋体" w:hAnsi="宋体"/>
                <w:sz w:val="18"/>
                <w:szCs w:val="18"/>
              </w:rPr>
            </w:pPr>
            <w:r>
              <w:rPr>
                <w:rFonts w:hint="eastAsia" w:ascii="宋体" w:hAnsi="宋体"/>
                <w:sz w:val="18"/>
                <w:szCs w:val="18"/>
              </w:rPr>
              <w:t>备注</w:t>
            </w: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r>
        <w:tblPrEx>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jc w:val="center"/>
        </w:trPr>
        <w:tc>
          <w:tcPr>
            <w:tcW w:w="75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1066" w:type="dxa"/>
            <w:vAlign w:val="center"/>
          </w:tcPr>
          <w:p>
            <w:pPr>
              <w:adjustRightInd w:val="0"/>
              <w:snapToGrid w:val="0"/>
              <w:jc w:val="center"/>
              <w:rPr>
                <w:rFonts w:ascii="宋体" w:hAnsi="宋体"/>
                <w:sz w:val="18"/>
                <w:szCs w:val="18"/>
              </w:rPr>
            </w:pPr>
          </w:p>
        </w:tc>
        <w:tc>
          <w:tcPr>
            <w:tcW w:w="954" w:type="dxa"/>
            <w:vAlign w:val="center"/>
          </w:tcPr>
          <w:p>
            <w:pPr>
              <w:adjustRightInd w:val="0"/>
              <w:snapToGrid w:val="0"/>
              <w:jc w:val="center"/>
              <w:rPr>
                <w:rFonts w:ascii="宋体" w:hAnsi="宋体"/>
                <w:sz w:val="18"/>
                <w:szCs w:val="18"/>
              </w:rPr>
            </w:pPr>
          </w:p>
        </w:tc>
        <w:tc>
          <w:tcPr>
            <w:tcW w:w="645" w:type="dxa"/>
            <w:vAlign w:val="center"/>
          </w:tcPr>
          <w:p>
            <w:pPr>
              <w:adjustRightInd w:val="0"/>
              <w:snapToGrid w:val="0"/>
              <w:jc w:val="center"/>
              <w:rPr>
                <w:rFonts w:ascii="宋体" w:hAnsi="宋体"/>
                <w:sz w:val="18"/>
                <w:szCs w:val="18"/>
              </w:rPr>
            </w:pPr>
          </w:p>
        </w:tc>
      </w:tr>
    </w:tbl>
    <w:p>
      <w:pPr>
        <w:spacing w:line="300" w:lineRule="auto"/>
        <w:rPr>
          <w:rFonts w:ascii="楷体_GB2312" w:hAnsi="宋体" w:eastAsia="楷体_GB2312"/>
        </w:rPr>
      </w:pPr>
      <w:r>
        <w:rPr>
          <w:rFonts w:hint="eastAsia" w:ascii="黑体" w:hAnsi="宋体" w:eastAsia="黑体"/>
        </w:rPr>
        <w:t>说明</w:t>
      </w:r>
      <w:r>
        <w:rPr>
          <w:rFonts w:hint="eastAsia" w:ascii="宋体" w:hAnsi="宋体"/>
        </w:rPr>
        <w:t>：</w:t>
      </w:r>
      <w:r>
        <w:rPr>
          <w:rFonts w:hint="eastAsia" w:ascii="楷体_GB2312" w:hAnsi="宋体" w:eastAsia="楷体_GB2312"/>
        </w:rPr>
        <w:t>如果未发生诉论及仲裁情况的，在表第一行填写“无”。</w:t>
      </w:r>
    </w:p>
    <w:p>
      <w:pPr>
        <w:spacing w:line="300" w:lineRule="auto"/>
        <w:rPr>
          <w:rFonts w:ascii="宋体" w:hAnsi="宋体"/>
        </w:rPr>
      </w:pPr>
    </w:p>
    <w:p>
      <w:pPr>
        <w:spacing w:line="300" w:lineRule="auto"/>
        <w:sectPr>
          <w:headerReference r:id="rId22" w:type="default"/>
          <w:pgSz w:w="11907" w:h="16840"/>
          <w:pgMar w:top="1417" w:right="1474" w:bottom="1417" w:left="1588" w:header="851" w:footer="850" w:gutter="0"/>
          <w:cols w:space="0" w:num="1"/>
          <w:docGrid w:linePitch="312" w:charSpace="0"/>
        </w:sectPr>
      </w:pPr>
    </w:p>
    <w:p>
      <w:pPr>
        <w:pStyle w:val="48"/>
        <w:tabs>
          <w:tab w:val="left" w:pos="284"/>
        </w:tabs>
        <w:spacing w:afterLines="50" w:line="0" w:lineRule="atLeast"/>
        <w:ind w:firstLine="0" w:firstLineChars="0"/>
        <w:outlineLvl w:val="1"/>
        <w:rPr>
          <w:rFonts w:ascii="宋体" w:hAnsi="宋体" w:cs="宋体"/>
          <w:sz w:val="22"/>
          <w:szCs w:val="22"/>
        </w:rPr>
      </w:pPr>
      <w:bookmarkStart w:id="570" w:name="_Toc331195467"/>
      <w:bookmarkStart w:id="571" w:name="_Toc440492006"/>
      <w:bookmarkStart w:id="572" w:name="_Toc15664"/>
      <w:bookmarkStart w:id="573" w:name="_Toc321997919"/>
      <w:bookmarkStart w:id="574" w:name="_Toc436224148"/>
      <w:bookmarkStart w:id="575" w:name="_Toc366770120"/>
      <w:bookmarkStart w:id="576" w:name="_Toc238552315"/>
      <w:bookmarkStart w:id="577" w:name="_Toc262740167"/>
      <w:bookmarkStart w:id="578" w:name="_Toc238797677"/>
      <w:r>
        <w:rPr>
          <w:rFonts w:hint="eastAsia" w:ascii="宋体" w:hAnsi="宋体" w:cs="宋体"/>
          <w:sz w:val="22"/>
          <w:szCs w:val="22"/>
        </w:rPr>
        <w:t>附录5</w:t>
      </w:r>
    </w:p>
    <w:p>
      <w:pPr>
        <w:pStyle w:val="48"/>
        <w:tabs>
          <w:tab w:val="left" w:pos="284"/>
        </w:tabs>
        <w:spacing w:beforeLines="100" w:afterLines="50" w:line="300" w:lineRule="auto"/>
        <w:ind w:firstLine="0" w:firstLineChars="0"/>
        <w:jc w:val="center"/>
        <w:outlineLvl w:val="1"/>
        <w:rPr>
          <w:rFonts w:ascii="黑体" w:hAnsi="黑体" w:eastAsia="黑体"/>
          <w:sz w:val="28"/>
          <w:szCs w:val="28"/>
        </w:rPr>
      </w:pPr>
      <w:r>
        <w:rPr>
          <w:rFonts w:hint="eastAsia" w:ascii="黑体" w:hAnsi="黑体" w:eastAsia="黑体"/>
          <w:sz w:val="28"/>
          <w:szCs w:val="28"/>
        </w:rPr>
        <w:t>投标物资报价表</w:t>
      </w:r>
      <w:bookmarkEnd w:id="570"/>
      <w:bookmarkEnd w:id="571"/>
      <w:bookmarkEnd w:id="572"/>
      <w:bookmarkEnd w:id="573"/>
      <w:bookmarkEnd w:id="574"/>
      <w:bookmarkEnd w:id="575"/>
    </w:p>
    <w:bookmarkEnd w:id="576"/>
    <w:bookmarkEnd w:id="577"/>
    <w:bookmarkEnd w:id="578"/>
    <w:tbl>
      <w:tblPr>
        <w:tblStyle w:val="39"/>
        <w:tblW w:w="13307" w:type="dxa"/>
        <w:jc w:val="center"/>
        <w:tblInd w:w="-454" w:type="dxa"/>
        <w:tblLayout w:type="fixed"/>
        <w:tblCellMar>
          <w:top w:w="0" w:type="dxa"/>
          <w:left w:w="108" w:type="dxa"/>
          <w:bottom w:w="0" w:type="dxa"/>
          <w:right w:w="108" w:type="dxa"/>
        </w:tblCellMar>
      </w:tblPr>
      <w:tblGrid>
        <w:gridCol w:w="1178"/>
        <w:gridCol w:w="653"/>
        <w:gridCol w:w="780"/>
        <w:gridCol w:w="2100"/>
        <w:gridCol w:w="805"/>
        <w:gridCol w:w="1134"/>
        <w:gridCol w:w="1313"/>
        <w:gridCol w:w="1230"/>
        <w:gridCol w:w="75"/>
        <w:gridCol w:w="1155"/>
        <w:gridCol w:w="1350"/>
        <w:gridCol w:w="517"/>
        <w:gridCol w:w="1017"/>
      </w:tblGrid>
      <w:tr>
        <w:tblPrEx>
          <w:tblLayout w:type="fixed"/>
          <w:tblCellMar>
            <w:top w:w="0" w:type="dxa"/>
            <w:left w:w="108" w:type="dxa"/>
            <w:bottom w:w="0" w:type="dxa"/>
            <w:right w:w="108" w:type="dxa"/>
          </w:tblCellMar>
        </w:tblPrEx>
        <w:trPr>
          <w:trHeight w:val="264" w:hRule="atLeast"/>
          <w:jc w:val="center"/>
        </w:trPr>
        <w:tc>
          <w:tcPr>
            <w:tcW w:w="1831"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bookmarkStart w:id="579" w:name="_Toc238552316"/>
            <w:bookmarkStart w:id="580" w:name="_Toc238797678"/>
            <w:bookmarkStart w:id="581" w:name="_Toc306891726"/>
            <w:bookmarkStart w:id="582" w:name="_Toc262740168"/>
            <w:bookmarkStart w:id="583" w:name="_Toc301949895"/>
            <w:bookmarkStart w:id="584" w:name="_Toc321997921"/>
            <w:r>
              <w:rPr>
                <w:rFonts w:hint="eastAsia" w:ascii="宋体" w:hAnsi="宋体" w:cs="宋体"/>
                <w:bCs/>
                <w:color w:val="000000"/>
                <w:kern w:val="0"/>
                <w:sz w:val="18"/>
                <w:szCs w:val="18"/>
              </w:rPr>
              <w:t>投标人名称：</w:t>
            </w:r>
          </w:p>
        </w:tc>
        <w:tc>
          <w:tcPr>
            <w:tcW w:w="2880" w:type="dxa"/>
            <w:gridSpan w:val="2"/>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c>
          <w:tcPr>
            <w:tcW w:w="4482" w:type="dxa"/>
            <w:gridSpan w:val="4"/>
            <w:tcBorders>
              <w:top w:val="nil"/>
              <w:left w:val="nil"/>
              <w:bottom w:val="single" w:color="auto" w:sz="12" w:space="0"/>
              <w:right w:val="nil"/>
            </w:tcBorders>
            <w:vAlign w:val="bottom"/>
          </w:tcPr>
          <w:p>
            <w:pPr>
              <w:spacing w:line="300" w:lineRule="auto"/>
              <w:rPr>
                <w:rFonts w:ascii="楷体_GB2312" w:hAnsi="宋体" w:eastAsia="楷体_GB2312" w:cs="宋体"/>
                <w:bCs/>
                <w:color w:val="000000"/>
                <w:kern w:val="0"/>
                <w:sz w:val="18"/>
                <w:szCs w:val="18"/>
              </w:rPr>
            </w:pPr>
            <w:r>
              <w:rPr>
                <w:rFonts w:hint="eastAsia" w:ascii="宋体" w:hAnsi="宋体" w:cs="宋体"/>
                <w:bCs/>
                <w:color w:val="000000"/>
                <w:kern w:val="0"/>
                <w:sz w:val="18"/>
                <w:szCs w:val="18"/>
              </w:rPr>
              <w:t xml:space="preserve">招标编号： </w:t>
            </w:r>
          </w:p>
        </w:tc>
        <w:tc>
          <w:tcPr>
            <w:tcW w:w="4114" w:type="dxa"/>
            <w:gridSpan w:val="5"/>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r>
              <w:rPr>
                <w:rFonts w:hint="eastAsia" w:ascii="宋体" w:hAnsi="宋体" w:cs="宋体"/>
                <w:bCs/>
                <w:color w:val="000000"/>
                <w:kern w:val="0"/>
                <w:sz w:val="18"/>
                <w:szCs w:val="18"/>
              </w:rPr>
              <w:t>包件号：</w:t>
            </w:r>
          </w:p>
        </w:tc>
      </w:tr>
      <w:tr>
        <w:tblPrEx>
          <w:tblLayout w:type="fixed"/>
          <w:tblCellMar>
            <w:top w:w="0" w:type="dxa"/>
            <w:left w:w="108" w:type="dxa"/>
            <w:bottom w:w="0" w:type="dxa"/>
            <w:right w:w="108" w:type="dxa"/>
          </w:tblCellMar>
        </w:tblPrEx>
        <w:trPr>
          <w:trHeight w:val="706" w:hRule="atLeast"/>
          <w:jc w:val="center"/>
        </w:trPr>
        <w:tc>
          <w:tcPr>
            <w:tcW w:w="1178" w:type="dxa"/>
            <w:tcBorders>
              <w:top w:val="single" w:color="auto" w:sz="12" w:space="0"/>
              <w:left w:val="single" w:color="auto" w:sz="12"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物资序号</w:t>
            </w:r>
          </w:p>
        </w:tc>
        <w:tc>
          <w:tcPr>
            <w:tcW w:w="1433"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物资名称</w:t>
            </w:r>
          </w:p>
        </w:tc>
        <w:tc>
          <w:tcPr>
            <w:tcW w:w="2100"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规格型号</w:t>
            </w:r>
          </w:p>
        </w:tc>
        <w:tc>
          <w:tcPr>
            <w:tcW w:w="805"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计量</w:t>
            </w:r>
          </w:p>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单位</w:t>
            </w:r>
          </w:p>
        </w:tc>
        <w:tc>
          <w:tcPr>
            <w:tcW w:w="1134"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需求数量</w:t>
            </w:r>
          </w:p>
        </w:tc>
        <w:tc>
          <w:tcPr>
            <w:tcW w:w="1313"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不含税单价（元）</w:t>
            </w:r>
          </w:p>
        </w:tc>
        <w:tc>
          <w:tcPr>
            <w:tcW w:w="1305" w:type="dxa"/>
            <w:gridSpan w:val="2"/>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不含税合价（元）</w:t>
            </w:r>
          </w:p>
        </w:tc>
        <w:tc>
          <w:tcPr>
            <w:tcW w:w="1155"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增值税税率或征收率</w:t>
            </w:r>
          </w:p>
        </w:tc>
        <w:tc>
          <w:tcPr>
            <w:tcW w:w="1350" w:type="dxa"/>
            <w:tcBorders>
              <w:top w:val="single" w:color="auto" w:sz="12" w:space="0"/>
              <w:left w:val="single" w:color="auto" w:sz="6" w:space="0"/>
              <w:bottom w:val="single" w:color="auto" w:sz="6" w:space="0"/>
              <w:right w:val="single" w:color="auto" w:sz="6"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增值税税额</w:t>
            </w:r>
          </w:p>
        </w:tc>
        <w:tc>
          <w:tcPr>
            <w:tcW w:w="1534" w:type="dxa"/>
            <w:gridSpan w:val="2"/>
            <w:tcBorders>
              <w:top w:val="single" w:color="auto" w:sz="12" w:space="0"/>
              <w:left w:val="single" w:color="auto" w:sz="6" w:space="0"/>
              <w:bottom w:val="single" w:color="auto" w:sz="6" w:space="0"/>
              <w:right w:val="single" w:color="auto" w:sz="12" w:space="0"/>
            </w:tcBorders>
            <w:vAlign w:val="center"/>
          </w:tcPr>
          <w:p>
            <w:pPr>
              <w:adjustRightInd w:val="0"/>
              <w:snapToGrid w:val="0"/>
              <w:jc w:val="center"/>
              <w:rPr>
                <w:rFonts w:ascii="宋体" w:hAnsi="宋体" w:cs="宋体"/>
                <w:color w:val="000000"/>
                <w:kern w:val="0"/>
                <w:sz w:val="18"/>
                <w:szCs w:val="18"/>
              </w:rPr>
            </w:pPr>
            <w:r>
              <w:rPr>
                <w:rFonts w:hint="eastAsia" w:ascii="宋体" w:hAnsi="宋体" w:cs="宋体"/>
                <w:color w:val="000000"/>
                <w:kern w:val="0"/>
                <w:sz w:val="18"/>
                <w:szCs w:val="18"/>
              </w:rPr>
              <w:t>价税合计（元）</w:t>
            </w: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1178" w:type="dxa"/>
            <w:tcBorders>
              <w:top w:val="single" w:color="auto" w:sz="6" w:space="0"/>
              <w:left w:val="single" w:color="auto" w:sz="12"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433" w:type="dxa"/>
            <w:gridSpan w:val="2"/>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2100" w:type="dxa"/>
            <w:tcBorders>
              <w:top w:val="single" w:color="auto" w:sz="6" w:space="0"/>
              <w:left w:val="single" w:color="auto" w:sz="6" w:space="0"/>
              <w:bottom w:val="single" w:color="auto" w:sz="6" w:space="0"/>
              <w:right w:val="single" w:color="auto" w:sz="6" w:space="0"/>
            </w:tcBorders>
            <w:vAlign w:val="center"/>
          </w:tcPr>
          <w:p>
            <w:pPr>
              <w:adjustRightInd w:val="0"/>
              <w:snapToGrid w:val="0"/>
              <w:jc w:val="center"/>
              <w:rPr>
                <w:rFonts w:ascii="楷体_GB2312" w:hAnsi="宋体" w:eastAsia="楷体_GB2312" w:cs="宋体"/>
                <w:kern w:val="0"/>
                <w:sz w:val="18"/>
                <w:szCs w:val="18"/>
              </w:rPr>
            </w:pPr>
          </w:p>
        </w:tc>
        <w:tc>
          <w:tcPr>
            <w:tcW w:w="805" w:type="dxa"/>
            <w:tcBorders>
              <w:top w:val="single" w:color="auto" w:sz="6" w:space="0"/>
              <w:left w:val="single" w:color="auto" w:sz="6" w:space="0"/>
              <w:bottom w:val="single" w:color="auto" w:sz="6" w:space="0"/>
              <w:right w:val="single" w:color="auto" w:sz="4" w:space="0"/>
            </w:tcBorders>
            <w:vAlign w:val="center"/>
          </w:tcPr>
          <w:p>
            <w:pPr>
              <w:adjustRightInd w:val="0"/>
              <w:snapToGrid w:val="0"/>
              <w:jc w:val="center"/>
              <w:rPr>
                <w:rFonts w:ascii="楷体_GB2312" w:hAnsi="宋体" w:eastAsia="楷体_GB2312" w:cs="宋体"/>
                <w:kern w:val="0"/>
                <w:sz w:val="18"/>
                <w:szCs w:val="18"/>
              </w:rPr>
            </w:pPr>
          </w:p>
        </w:tc>
        <w:tc>
          <w:tcPr>
            <w:tcW w:w="1134"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楷体_GB2312" w:hAnsi="宋体" w:eastAsia="楷体_GB2312" w:cs="宋体"/>
                <w:color w:val="000000"/>
                <w:kern w:val="0"/>
                <w:sz w:val="18"/>
                <w:szCs w:val="18"/>
              </w:rPr>
            </w:pPr>
          </w:p>
        </w:tc>
        <w:tc>
          <w:tcPr>
            <w:tcW w:w="1313"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楷体_GB2312" w:hAnsi="宋体" w:eastAsia="楷体_GB2312" w:cs="宋体"/>
                <w:color w:val="000000"/>
                <w:kern w:val="0"/>
                <w:sz w:val="18"/>
                <w:szCs w:val="18"/>
              </w:rPr>
            </w:pPr>
          </w:p>
        </w:tc>
        <w:tc>
          <w:tcPr>
            <w:tcW w:w="1305" w:type="dxa"/>
            <w:gridSpan w:val="2"/>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楷体_GB2312" w:hAnsi="宋体" w:eastAsia="楷体_GB2312" w:cs="宋体"/>
                <w:color w:val="000000"/>
                <w:kern w:val="0"/>
                <w:sz w:val="18"/>
                <w:szCs w:val="18"/>
              </w:rPr>
            </w:pPr>
          </w:p>
        </w:tc>
        <w:tc>
          <w:tcPr>
            <w:tcW w:w="1155" w:type="dxa"/>
            <w:tcBorders>
              <w:top w:val="single" w:color="auto" w:sz="6" w:space="0"/>
              <w:left w:val="single" w:color="auto" w:sz="4" w:space="0"/>
              <w:bottom w:val="single" w:color="auto" w:sz="6" w:space="0"/>
              <w:right w:val="single" w:color="auto" w:sz="4" w:space="0"/>
            </w:tcBorders>
            <w:vAlign w:val="center"/>
          </w:tcPr>
          <w:p>
            <w:pPr>
              <w:adjustRightInd w:val="0"/>
              <w:snapToGrid w:val="0"/>
              <w:jc w:val="center"/>
              <w:rPr>
                <w:rFonts w:ascii="楷体_GB2312" w:hAnsi="宋体" w:eastAsia="楷体_GB2312" w:cs="宋体"/>
                <w:color w:val="000000"/>
                <w:kern w:val="0"/>
                <w:sz w:val="18"/>
                <w:szCs w:val="18"/>
              </w:rPr>
            </w:pPr>
          </w:p>
        </w:tc>
        <w:tc>
          <w:tcPr>
            <w:tcW w:w="1350" w:type="dxa"/>
            <w:tcBorders>
              <w:top w:val="single" w:color="auto" w:sz="6" w:space="0"/>
              <w:left w:val="single" w:color="auto" w:sz="4" w:space="0"/>
              <w:bottom w:val="single" w:color="auto" w:sz="6" w:space="0"/>
              <w:right w:val="single" w:color="auto" w:sz="6" w:space="0"/>
            </w:tcBorders>
            <w:vAlign w:val="center"/>
          </w:tcPr>
          <w:p>
            <w:pPr>
              <w:adjustRightInd w:val="0"/>
              <w:snapToGrid w:val="0"/>
              <w:jc w:val="center"/>
              <w:rPr>
                <w:rFonts w:ascii="楷体_GB2312" w:hAnsi="宋体" w:eastAsia="楷体_GB2312" w:cs="宋体"/>
                <w:color w:val="000000"/>
                <w:kern w:val="0"/>
                <w:sz w:val="18"/>
                <w:szCs w:val="18"/>
              </w:rPr>
            </w:pPr>
          </w:p>
        </w:tc>
        <w:tc>
          <w:tcPr>
            <w:tcW w:w="1534" w:type="dxa"/>
            <w:gridSpan w:val="2"/>
            <w:tcBorders>
              <w:top w:val="single" w:color="auto" w:sz="6" w:space="0"/>
              <w:left w:val="single" w:color="auto" w:sz="6" w:space="0"/>
              <w:bottom w:val="single" w:color="auto" w:sz="6"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5516" w:type="dxa"/>
            <w:gridSpan w:val="5"/>
            <w:tcBorders>
              <w:top w:val="single" w:color="auto" w:sz="6" w:space="0"/>
              <w:left w:val="single" w:color="auto" w:sz="12" w:space="0"/>
              <w:bottom w:val="single" w:color="auto" w:sz="12" w:space="0"/>
              <w:right w:val="single" w:color="auto" w:sz="4" w:space="0"/>
            </w:tcBorders>
            <w:vAlign w:val="center"/>
          </w:tcPr>
          <w:p>
            <w:pPr>
              <w:adjustRightInd w:val="0"/>
              <w:snapToGrid w:val="0"/>
              <w:jc w:val="center"/>
              <w:rPr>
                <w:rFonts w:ascii="楷体_GB2312" w:hAnsi="宋体" w:eastAsia="楷体_GB2312" w:cs="宋体"/>
                <w:color w:val="000000"/>
                <w:kern w:val="0"/>
                <w:sz w:val="18"/>
                <w:szCs w:val="18"/>
              </w:rPr>
            </w:pPr>
            <w:r>
              <w:rPr>
                <w:rFonts w:hint="eastAsia" w:ascii="宋体" w:hAnsi="宋体" w:cs="宋体"/>
                <w:color w:val="000000"/>
                <w:kern w:val="0"/>
                <w:sz w:val="18"/>
                <w:szCs w:val="18"/>
              </w:rPr>
              <w:t>总计（</w:t>
            </w:r>
            <w:r>
              <w:rPr>
                <w:rFonts w:hint="eastAsia" w:ascii="楷体_GB2312" w:hAnsi="宋体" w:eastAsia="楷体_GB2312" w:cs="宋体"/>
                <w:color w:val="000000"/>
                <w:kern w:val="0"/>
                <w:sz w:val="18"/>
                <w:szCs w:val="18"/>
              </w:rPr>
              <w:t>元</w:t>
            </w:r>
            <w:r>
              <w:rPr>
                <w:rFonts w:hint="eastAsia" w:ascii="宋体" w:hAnsi="宋体" w:cs="宋体"/>
                <w:color w:val="000000"/>
                <w:kern w:val="0"/>
                <w:sz w:val="18"/>
                <w:szCs w:val="18"/>
              </w:rPr>
              <w:t>）</w:t>
            </w:r>
          </w:p>
        </w:tc>
        <w:tc>
          <w:tcPr>
            <w:tcW w:w="1134" w:type="dxa"/>
            <w:tcBorders>
              <w:top w:val="single" w:color="auto" w:sz="6" w:space="0"/>
              <w:left w:val="single" w:color="auto" w:sz="4" w:space="0"/>
              <w:bottom w:val="single" w:color="auto" w:sz="12"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313" w:type="dxa"/>
            <w:tcBorders>
              <w:top w:val="single" w:color="auto" w:sz="6" w:space="0"/>
              <w:left w:val="single" w:color="auto" w:sz="4" w:space="0"/>
              <w:bottom w:val="single" w:color="auto" w:sz="12"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305" w:type="dxa"/>
            <w:gridSpan w:val="2"/>
            <w:tcBorders>
              <w:top w:val="single" w:color="auto" w:sz="6" w:space="0"/>
              <w:left w:val="single" w:color="auto" w:sz="4" w:space="0"/>
              <w:bottom w:val="single" w:color="auto" w:sz="12"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155" w:type="dxa"/>
            <w:tcBorders>
              <w:top w:val="single" w:color="auto" w:sz="6" w:space="0"/>
              <w:left w:val="single" w:color="auto" w:sz="4" w:space="0"/>
              <w:bottom w:val="single" w:color="auto" w:sz="12"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350" w:type="dxa"/>
            <w:tcBorders>
              <w:top w:val="single" w:color="auto" w:sz="6" w:space="0"/>
              <w:left w:val="single" w:color="auto" w:sz="4" w:space="0"/>
              <w:bottom w:val="single" w:color="auto" w:sz="12" w:space="0"/>
              <w:right w:val="single" w:color="auto" w:sz="4" w:space="0"/>
            </w:tcBorders>
            <w:vAlign w:val="center"/>
          </w:tcPr>
          <w:p>
            <w:pPr>
              <w:adjustRightInd w:val="0"/>
              <w:snapToGrid w:val="0"/>
              <w:jc w:val="left"/>
              <w:rPr>
                <w:rFonts w:ascii="宋体" w:hAnsi="宋体" w:cs="宋体"/>
                <w:color w:val="000000"/>
                <w:kern w:val="0"/>
                <w:sz w:val="18"/>
                <w:szCs w:val="18"/>
              </w:rPr>
            </w:pPr>
          </w:p>
        </w:tc>
        <w:tc>
          <w:tcPr>
            <w:tcW w:w="1534" w:type="dxa"/>
            <w:gridSpan w:val="2"/>
            <w:tcBorders>
              <w:top w:val="single" w:color="auto" w:sz="6" w:space="0"/>
              <w:left w:val="single" w:color="auto" w:sz="4" w:space="0"/>
              <w:bottom w:val="single" w:color="auto" w:sz="12" w:space="0"/>
              <w:right w:val="single" w:color="auto" w:sz="12" w:space="0"/>
            </w:tcBorders>
            <w:vAlign w:val="center"/>
          </w:tcPr>
          <w:p>
            <w:pPr>
              <w:adjustRightInd w:val="0"/>
              <w:snapToGrid w:val="0"/>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375" w:hRule="atLeast"/>
          <w:jc w:val="center"/>
        </w:trPr>
        <w:tc>
          <w:tcPr>
            <w:tcW w:w="5516"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投标人名称（加盖公章）：</w:t>
            </w:r>
          </w:p>
        </w:tc>
        <w:tc>
          <w:tcPr>
            <w:tcW w:w="1134"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13"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05"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15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50"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517"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75" w:hRule="atLeast"/>
          <w:jc w:val="center"/>
        </w:trPr>
        <w:tc>
          <w:tcPr>
            <w:tcW w:w="5516"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法定代表人或授权人代理人签字：</w:t>
            </w:r>
          </w:p>
        </w:tc>
        <w:tc>
          <w:tcPr>
            <w:tcW w:w="1134"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13"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05"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15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50"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517"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75" w:hRule="atLeast"/>
          <w:jc w:val="center"/>
        </w:trPr>
        <w:tc>
          <w:tcPr>
            <w:tcW w:w="5516"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日期：</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月</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日</w:t>
            </w:r>
          </w:p>
        </w:tc>
        <w:tc>
          <w:tcPr>
            <w:tcW w:w="1134"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13"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05"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15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50"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517"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017" w:type="dxa"/>
            <w:tcBorders>
              <w:top w:val="nil"/>
              <w:left w:val="nil"/>
              <w:bottom w:val="nil"/>
              <w:right w:val="nil"/>
            </w:tcBorders>
            <w:vAlign w:val="center"/>
          </w:tcPr>
          <w:p>
            <w:pPr>
              <w:spacing w:line="300" w:lineRule="auto"/>
              <w:rPr>
                <w:rFonts w:ascii="宋体" w:hAnsi="宋体" w:cs="宋体"/>
                <w:color w:val="000000"/>
                <w:kern w:val="0"/>
                <w:sz w:val="18"/>
                <w:szCs w:val="18"/>
              </w:rPr>
            </w:pPr>
          </w:p>
        </w:tc>
      </w:tr>
    </w:tbl>
    <w:p>
      <w:pPr>
        <w:spacing w:line="300" w:lineRule="auto"/>
        <w:rPr>
          <w:rFonts w:ascii="楷体_GB2312" w:eastAsia="楷体_GB2312"/>
          <w:bCs/>
          <w:sz w:val="18"/>
          <w:szCs w:val="18"/>
        </w:rPr>
      </w:pPr>
      <w:r>
        <w:rPr>
          <w:rFonts w:hint="eastAsia" w:ascii="黑体" w:eastAsia="黑体"/>
          <w:bCs/>
          <w:sz w:val="18"/>
          <w:szCs w:val="18"/>
        </w:rPr>
        <w:t>注</w:t>
      </w:r>
      <w:r>
        <w:rPr>
          <w:rFonts w:hint="eastAsia"/>
          <w:bCs/>
          <w:sz w:val="18"/>
          <w:szCs w:val="18"/>
        </w:rPr>
        <w:t>：</w:t>
      </w:r>
      <w:r>
        <w:rPr>
          <w:rFonts w:hint="eastAsia" w:ascii="楷体_GB2312" w:eastAsia="楷体_GB2312"/>
          <w:bCs/>
          <w:sz w:val="18"/>
          <w:szCs w:val="18"/>
        </w:rPr>
        <w:t>1、本表由投标人依据招标文件中对应包件的《物资需求一览表》正确、完整填写；</w:t>
      </w:r>
    </w:p>
    <w:p>
      <w:pPr>
        <w:spacing w:line="300" w:lineRule="auto"/>
        <w:rPr>
          <w:rFonts w:ascii="楷体_GB2312" w:eastAsia="楷体_GB2312"/>
          <w:bCs/>
          <w:sz w:val="18"/>
          <w:szCs w:val="18"/>
        </w:rPr>
      </w:pPr>
      <w:r>
        <w:rPr>
          <w:rFonts w:hint="eastAsia" w:ascii="楷体_GB2312" w:eastAsia="楷体_GB2312"/>
          <w:bCs/>
          <w:sz w:val="18"/>
          <w:szCs w:val="18"/>
        </w:rPr>
        <w:t xml:space="preserve">    2、需求数量为招标人预计数量；</w:t>
      </w:r>
    </w:p>
    <w:p>
      <w:pPr>
        <w:spacing w:line="300" w:lineRule="auto"/>
        <w:rPr>
          <w:rFonts w:ascii="宋体" w:hAnsi="宋体" w:cs="宋体"/>
          <w:b/>
          <w:szCs w:val="21"/>
        </w:rPr>
      </w:pPr>
      <w:r>
        <w:rPr>
          <w:rFonts w:hint="eastAsia" w:ascii="楷体_GB2312" w:eastAsia="楷体_GB2312"/>
          <w:bCs/>
          <w:sz w:val="18"/>
          <w:szCs w:val="18"/>
        </w:rPr>
        <w:t xml:space="preserve">    3、如适用不同增值税税率，按不同税率分别填写。</w:t>
      </w:r>
      <w:r>
        <w:rPr>
          <w:rFonts w:ascii="宋体" w:hAnsi="宋体" w:cs="宋体"/>
          <w:b/>
          <w:szCs w:val="21"/>
        </w:rPr>
        <w:br w:type="page"/>
      </w:r>
    </w:p>
    <w:p>
      <w:pPr>
        <w:pStyle w:val="48"/>
        <w:tabs>
          <w:tab w:val="left" w:pos="284"/>
        </w:tabs>
        <w:spacing w:afterLines="50" w:line="0" w:lineRule="atLeast"/>
        <w:ind w:firstLine="0" w:firstLineChars="0"/>
        <w:outlineLvl w:val="1"/>
        <w:rPr>
          <w:rFonts w:ascii="宋体" w:hAnsi="宋体" w:cs="宋体"/>
          <w:sz w:val="22"/>
          <w:szCs w:val="22"/>
        </w:rPr>
      </w:pPr>
      <w:bookmarkStart w:id="585" w:name="_Toc366770122"/>
      <w:r>
        <w:rPr>
          <w:rFonts w:hint="eastAsia" w:ascii="宋体" w:hAnsi="宋体" w:cs="宋体"/>
          <w:sz w:val="22"/>
          <w:szCs w:val="22"/>
        </w:rPr>
        <w:t>附录6</w:t>
      </w:r>
    </w:p>
    <w:p>
      <w:pPr>
        <w:pStyle w:val="48"/>
        <w:tabs>
          <w:tab w:val="left" w:pos="426"/>
        </w:tabs>
        <w:spacing w:line="300" w:lineRule="auto"/>
        <w:ind w:firstLine="0" w:firstLineChars="0"/>
        <w:jc w:val="center"/>
        <w:rPr>
          <w:rFonts w:ascii="宋体" w:hAnsi="宋体"/>
          <w:b/>
          <w:sz w:val="24"/>
        </w:rPr>
      </w:pPr>
      <w:r>
        <w:rPr>
          <w:rFonts w:hint="eastAsia" w:ascii="黑体" w:hAnsi="黑体" w:eastAsia="黑体"/>
          <w:sz w:val="28"/>
          <w:szCs w:val="28"/>
        </w:rPr>
        <w:t>物资描述表</w:t>
      </w:r>
      <w:bookmarkEnd w:id="579"/>
      <w:bookmarkEnd w:id="580"/>
      <w:bookmarkEnd w:id="581"/>
      <w:bookmarkEnd w:id="582"/>
      <w:bookmarkEnd w:id="583"/>
      <w:bookmarkEnd w:id="584"/>
      <w:bookmarkEnd w:id="585"/>
    </w:p>
    <w:tbl>
      <w:tblPr>
        <w:tblStyle w:val="39"/>
        <w:tblW w:w="13765" w:type="dxa"/>
        <w:jc w:val="center"/>
        <w:tblInd w:w="0" w:type="dxa"/>
        <w:tblLayout w:type="fixed"/>
        <w:tblCellMar>
          <w:top w:w="0" w:type="dxa"/>
          <w:left w:w="108" w:type="dxa"/>
          <w:bottom w:w="0" w:type="dxa"/>
          <w:right w:w="108" w:type="dxa"/>
        </w:tblCellMar>
      </w:tblPr>
      <w:tblGrid>
        <w:gridCol w:w="724"/>
        <w:gridCol w:w="598"/>
        <w:gridCol w:w="1103"/>
        <w:gridCol w:w="1843"/>
        <w:gridCol w:w="1134"/>
        <w:gridCol w:w="992"/>
        <w:gridCol w:w="173"/>
        <w:gridCol w:w="1245"/>
        <w:gridCol w:w="1275"/>
        <w:gridCol w:w="882"/>
        <w:gridCol w:w="319"/>
        <w:gridCol w:w="1380"/>
        <w:gridCol w:w="1200"/>
        <w:gridCol w:w="897"/>
      </w:tblGrid>
      <w:tr>
        <w:tblPrEx>
          <w:tblLayout w:type="fixed"/>
          <w:tblCellMar>
            <w:top w:w="0" w:type="dxa"/>
            <w:left w:w="108" w:type="dxa"/>
            <w:bottom w:w="0" w:type="dxa"/>
            <w:right w:w="108" w:type="dxa"/>
          </w:tblCellMar>
        </w:tblPrEx>
        <w:trPr>
          <w:trHeight w:val="238" w:hRule="atLeast"/>
          <w:jc w:val="center"/>
        </w:trPr>
        <w:tc>
          <w:tcPr>
            <w:tcW w:w="1322"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r>
              <w:rPr>
                <w:rFonts w:hint="eastAsia" w:ascii="宋体" w:hAnsi="宋体" w:cs="宋体"/>
                <w:bCs/>
                <w:color w:val="000000"/>
                <w:kern w:val="0"/>
                <w:sz w:val="18"/>
                <w:szCs w:val="18"/>
              </w:rPr>
              <w:t>投标人名称：</w:t>
            </w:r>
          </w:p>
        </w:tc>
        <w:tc>
          <w:tcPr>
            <w:tcW w:w="4080" w:type="dxa"/>
            <w:gridSpan w:val="3"/>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c>
          <w:tcPr>
            <w:tcW w:w="1165" w:type="dxa"/>
            <w:gridSpan w:val="2"/>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r>
              <w:rPr>
                <w:rFonts w:hint="eastAsia" w:ascii="宋体" w:hAnsi="宋体" w:cs="宋体"/>
                <w:bCs/>
                <w:color w:val="000000"/>
                <w:kern w:val="0"/>
                <w:sz w:val="18"/>
                <w:szCs w:val="18"/>
              </w:rPr>
              <w:t>招标编号：</w:t>
            </w:r>
          </w:p>
        </w:tc>
        <w:tc>
          <w:tcPr>
            <w:tcW w:w="2520" w:type="dxa"/>
            <w:gridSpan w:val="2"/>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c>
          <w:tcPr>
            <w:tcW w:w="882" w:type="dxa"/>
            <w:tcBorders>
              <w:top w:val="nil"/>
              <w:left w:val="nil"/>
              <w:bottom w:val="single" w:color="auto" w:sz="12" w:space="0"/>
              <w:right w:val="nil"/>
            </w:tcBorders>
            <w:vAlign w:val="bottom"/>
          </w:tcPr>
          <w:p>
            <w:pPr>
              <w:spacing w:line="300" w:lineRule="auto"/>
              <w:rPr>
                <w:rFonts w:ascii="宋体" w:hAnsi="宋体" w:cs="宋体"/>
                <w:bCs/>
                <w:color w:val="000000"/>
                <w:kern w:val="0"/>
                <w:sz w:val="18"/>
                <w:szCs w:val="18"/>
              </w:rPr>
            </w:pPr>
          </w:p>
        </w:tc>
        <w:tc>
          <w:tcPr>
            <w:tcW w:w="3796" w:type="dxa"/>
            <w:gridSpan w:val="4"/>
            <w:tcBorders>
              <w:top w:val="nil"/>
              <w:left w:val="nil"/>
              <w:bottom w:val="single" w:color="auto" w:sz="12" w:space="0"/>
              <w:right w:val="nil"/>
            </w:tcBorders>
            <w:vAlign w:val="bottom"/>
          </w:tcPr>
          <w:p>
            <w:pPr>
              <w:spacing w:line="300" w:lineRule="auto"/>
              <w:jc w:val="left"/>
              <w:rPr>
                <w:rFonts w:ascii="楷体_GB2312" w:hAnsi="宋体" w:eastAsia="楷体_GB2312" w:cs="宋体"/>
                <w:bCs/>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12" w:space="0"/>
              <w:left w:val="single" w:color="auto" w:sz="12"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序号</w:t>
            </w:r>
          </w:p>
        </w:tc>
        <w:tc>
          <w:tcPr>
            <w:tcW w:w="17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物资名称</w:t>
            </w:r>
          </w:p>
        </w:tc>
        <w:tc>
          <w:tcPr>
            <w:tcW w:w="1843"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规格型号</w:t>
            </w:r>
          </w:p>
        </w:tc>
        <w:tc>
          <w:tcPr>
            <w:tcW w:w="1134"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计量单位</w:t>
            </w:r>
          </w:p>
        </w:tc>
        <w:tc>
          <w:tcPr>
            <w:tcW w:w="992"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数量</w:t>
            </w:r>
          </w:p>
        </w:tc>
        <w:tc>
          <w:tcPr>
            <w:tcW w:w="1418"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交货地点</w:t>
            </w:r>
          </w:p>
        </w:tc>
        <w:tc>
          <w:tcPr>
            <w:tcW w:w="1275"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收货人</w:t>
            </w:r>
          </w:p>
        </w:tc>
        <w:tc>
          <w:tcPr>
            <w:tcW w:w="1201" w:type="dxa"/>
            <w:gridSpan w:val="2"/>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交货状态</w:t>
            </w:r>
          </w:p>
        </w:tc>
        <w:tc>
          <w:tcPr>
            <w:tcW w:w="1380" w:type="dxa"/>
            <w:tcBorders>
              <w:top w:val="single" w:color="auto" w:sz="12" w:space="0"/>
              <w:left w:val="single" w:color="auto" w:sz="6" w:space="0"/>
              <w:bottom w:val="single" w:color="auto" w:sz="6" w:space="0"/>
              <w:right w:val="single" w:color="auto" w:sz="6"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交货条件</w:t>
            </w:r>
          </w:p>
        </w:tc>
        <w:tc>
          <w:tcPr>
            <w:tcW w:w="1200" w:type="dxa"/>
            <w:tcBorders>
              <w:top w:val="single" w:color="auto" w:sz="12" w:space="0"/>
              <w:left w:val="single" w:color="auto" w:sz="6" w:space="0"/>
              <w:bottom w:val="single" w:color="auto" w:sz="6" w:space="0"/>
              <w:right w:val="single" w:color="auto" w:sz="4"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交货期</w:t>
            </w:r>
          </w:p>
        </w:tc>
        <w:tc>
          <w:tcPr>
            <w:tcW w:w="897" w:type="dxa"/>
            <w:tcBorders>
              <w:top w:val="single" w:color="auto" w:sz="12" w:space="0"/>
              <w:left w:val="single" w:color="auto" w:sz="4" w:space="0"/>
              <w:bottom w:val="single" w:color="auto" w:sz="6" w:space="0"/>
              <w:right w:val="single" w:color="auto" w:sz="12" w:space="0"/>
            </w:tcBorders>
            <w:vAlign w:val="center"/>
          </w:tcPr>
          <w:p>
            <w:pPr>
              <w:jc w:val="center"/>
              <w:rPr>
                <w:rFonts w:ascii="宋体" w:hAnsi="宋体" w:cs="宋体"/>
                <w:color w:val="000000"/>
                <w:kern w:val="0"/>
                <w:sz w:val="18"/>
                <w:szCs w:val="18"/>
              </w:rPr>
            </w:pPr>
            <w:r>
              <w:rPr>
                <w:rFonts w:hint="eastAsia" w:ascii="宋体" w:hAnsi="宋体" w:cs="宋体"/>
                <w:color w:val="000000"/>
                <w:kern w:val="0"/>
                <w:sz w:val="18"/>
                <w:szCs w:val="18"/>
              </w:rPr>
              <w:t>备注</w:t>
            </w: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6"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6"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6"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454" w:hRule="atLeast"/>
          <w:jc w:val="center"/>
        </w:trPr>
        <w:tc>
          <w:tcPr>
            <w:tcW w:w="724" w:type="dxa"/>
            <w:tcBorders>
              <w:top w:val="single" w:color="auto" w:sz="6" w:space="0"/>
              <w:left w:val="single" w:color="auto" w:sz="12"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701"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843"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134"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992"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418"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275"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1" w:type="dxa"/>
            <w:gridSpan w:val="2"/>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380" w:type="dxa"/>
            <w:tcBorders>
              <w:top w:val="single" w:color="auto" w:sz="6" w:space="0"/>
              <w:left w:val="single" w:color="auto" w:sz="6" w:space="0"/>
              <w:bottom w:val="single" w:color="auto" w:sz="12" w:space="0"/>
              <w:right w:val="single" w:color="auto" w:sz="6" w:space="0"/>
            </w:tcBorders>
            <w:vAlign w:val="center"/>
          </w:tcPr>
          <w:p>
            <w:pPr>
              <w:jc w:val="center"/>
              <w:rPr>
                <w:rFonts w:ascii="楷体_GB2312" w:hAnsi="宋体" w:eastAsia="楷体_GB2312" w:cs="宋体"/>
                <w:color w:val="000000"/>
                <w:kern w:val="0"/>
                <w:sz w:val="18"/>
                <w:szCs w:val="18"/>
              </w:rPr>
            </w:pPr>
          </w:p>
        </w:tc>
        <w:tc>
          <w:tcPr>
            <w:tcW w:w="1200" w:type="dxa"/>
            <w:tcBorders>
              <w:top w:val="single" w:color="auto" w:sz="6" w:space="0"/>
              <w:left w:val="single" w:color="auto" w:sz="6" w:space="0"/>
              <w:bottom w:val="single" w:color="auto" w:sz="12" w:space="0"/>
              <w:right w:val="single" w:color="auto" w:sz="4" w:space="0"/>
            </w:tcBorders>
            <w:vAlign w:val="center"/>
          </w:tcPr>
          <w:p>
            <w:pPr>
              <w:jc w:val="center"/>
              <w:rPr>
                <w:rFonts w:ascii="楷体_GB2312" w:hAnsi="宋体" w:eastAsia="楷体_GB2312" w:cs="宋体"/>
                <w:color w:val="000000"/>
                <w:kern w:val="0"/>
                <w:sz w:val="18"/>
                <w:szCs w:val="18"/>
              </w:rPr>
            </w:pPr>
          </w:p>
        </w:tc>
        <w:tc>
          <w:tcPr>
            <w:tcW w:w="897" w:type="dxa"/>
            <w:tcBorders>
              <w:top w:val="single" w:color="auto" w:sz="6" w:space="0"/>
              <w:left w:val="single" w:color="auto" w:sz="4" w:space="0"/>
              <w:bottom w:val="single" w:color="auto" w:sz="12" w:space="0"/>
              <w:right w:val="single" w:color="auto" w:sz="12" w:space="0"/>
            </w:tcBorders>
            <w:vAlign w:val="center"/>
          </w:tcPr>
          <w:p>
            <w:pPr>
              <w:jc w:val="center"/>
              <w:rPr>
                <w:rFonts w:ascii="楷体_GB2312" w:hAnsi="宋体" w:eastAsia="楷体_GB2312" w:cs="宋体"/>
                <w:color w:val="000000"/>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5402" w:type="dxa"/>
            <w:gridSpan w:val="5"/>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投标人名称（加盖公章）：</w:t>
            </w:r>
          </w:p>
        </w:tc>
        <w:tc>
          <w:tcPr>
            <w:tcW w:w="992"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201" w:type="dxa"/>
            <w:gridSpan w:val="2"/>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1380" w:type="dxa"/>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c>
          <w:tcPr>
            <w:tcW w:w="2097" w:type="dxa"/>
            <w:gridSpan w:val="2"/>
            <w:tcBorders>
              <w:top w:val="single" w:color="auto" w:sz="12" w:space="0"/>
              <w:left w:val="nil"/>
              <w:bottom w:val="nil"/>
              <w:right w:val="nil"/>
            </w:tcBorders>
            <w:vAlign w:val="center"/>
          </w:tcPr>
          <w:p>
            <w:pPr>
              <w:spacing w:line="300" w:lineRule="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5402"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法定代表人或授权人代理人签字：</w:t>
            </w:r>
          </w:p>
        </w:tc>
        <w:tc>
          <w:tcPr>
            <w:tcW w:w="992"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01"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80"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2097"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r>
      <w:tr>
        <w:tblPrEx>
          <w:tblLayout w:type="fixed"/>
          <w:tblCellMar>
            <w:top w:w="0" w:type="dxa"/>
            <w:left w:w="108" w:type="dxa"/>
            <w:bottom w:w="0" w:type="dxa"/>
            <w:right w:w="108" w:type="dxa"/>
          </w:tblCellMar>
        </w:tblPrEx>
        <w:trPr>
          <w:trHeight w:val="360" w:hRule="atLeast"/>
          <w:jc w:val="center"/>
        </w:trPr>
        <w:tc>
          <w:tcPr>
            <w:tcW w:w="5402" w:type="dxa"/>
            <w:gridSpan w:val="5"/>
            <w:tcBorders>
              <w:top w:val="nil"/>
              <w:left w:val="nil"/>
              <w:bottom w:val="nil"/>
              <w:right w:val="nil"/>
            </w:tcBorders>
            <w:vAlign w:val="center"/>
          </w:tcPr>
          <w:p>
            <w:pPr>
              <w:spacing w:line="300" w:lineRule="auto"/>
              <w:rPr>
                <w:rFonts w:ascii="宋体" w:hAnsi="宋体" w:cs="宋体"/>
                <w:color w:val="000000"/>
                <w:kern w:val="0"/>
                <w:sz w:val="18"/>
                <w:szCs w:val="18"/>
              </w:rPr>
            </w:pPr>
            <w:r>
              <w:rPr>
                <w:rFonts w:hint="eastAsia" w:ascii="宋体" w:hAnsi="宋体" w:cs="宋体"/>
                <w:color w:val="000000"/>
                <w:kern w:val="0"/>
                <w:sz w:val="18"/>
                <w:szCs w:val="18"/>
              </w:rPr>
              <w:t>日期：</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年</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月</w:t>
            </w:r>
            <w:r>
              <w:rPr>
                <w:rFonts w:hint="eastAsia" w:ascii="宋体" w:hAnsi="宋体" w:cs="宋体"/>
                <w:color w:val="000000"/>
                <w:kern w:val="0"/>
                <w:sz w:val="18"/>
                <w:szCs w:val="18"/>
                <w:u w:val="single"/>
              </w:rPr>
              <w:t xml:space="preserve">    </w:t>
            </w:r>
            <w:r>
              <w:rPr>
                <w:rFonts w:hint="eastAsia" w:ascii="宋体" w:hAnsi="宋体" w:cs="宋体"/>
                <w:color w:val="000000"/>
                <w:kern w:val="0"/>
                <w:sz w:val="18"/>
                <w:szCs w:val="18"/>
              </w:rPr>
              <w:t>日</w:t>
            </w:r>
          </w:p>
        </w:tc>
        <w:tc>
          <w:tcPr>
            <w:tcW w:w="992"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418"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75"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201"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1380" w:type="dxa"/>
            <w:tcBorders>
              <w:top w:val="nil"/>
              <w:left w:val="nil"/>
              <w:bottom w:val="nil"/>
              <w:right w:val="nil"/>
            </w:tcBorders>
            <w:vAlign w:val="center"/>
          </w:tcPr>
          <w:p>
            <w:pPr>
              <w:spacing w:line="300" w:lineRule="auto"/>
              <w:rPr>
                <w:rFonts w:ascii="宋体" w:hAnsi="宋体" w:cs="宋体"/>
                <w:color w:val="000000"/>
                <w:kern w:val="0"/>
                <w:sz w:val="18"/>
                <w:szCs w:val="18"/>
              </w:rPr>
            </w:pPr>
          </w:p>
        </w:tc>
        <w:tc>
          <w:tcPr>
            <w:tcW w:w="2097" w:type="dxa"/>
            <w:gridSpan w:val="2"/>
            <w:tcBorders>
              <w:top w:val="nil"/>
              <w:left w:val="nil"/>
              <w:bottom w:val="nil"/>
              <w:right w:val="nil"/>
            </w:tcBorders>
            <w:vAlign w:val="center"/>
          </w:tcPr>
          <w:p>
            <w:pPr>
              <w:spacing w:line="300" w:lineRule="auto"/>
              <w:rPr>
                <w:rFonts w:ascii="宋体" w:hAnsi="宋体" w:cs="宋体"/>
                <w:color w:val="000000"/>
                <w:kern w:val="0"/>
                <w:sz w:val="18"/>
                <w:szCs w:val="18"/>
              </w:rPr>
            </w:pPr>
          </w:p>
        </w:tc>
      </w:tr>
    </w:tbl>
    <w:p>
      <w:pPr>
        <w:spacing w:line="300" w:lineRule="auto"/>
        <w:rPr>
          <w:rFonts w:ascii="楷体_GB2312" w:eastAsia="楷体_GB2312"/>
          <w:bCs/>
          <w:sz w:val="18"/>
          <w:szCs w:val="18"/>
        </w:rPr>
        <w:sectPr>
          <w:headerReference r:id="rId23" w:type="default"/>
          <w:footerReference r:id="rId25" w:type="default"/>
          <w:headerReference r:id="rId24" w:type="even"/>
          <w:footerReference r:id="rId26" w:type="even"/>
          <w:pgSz w:w="16840" w:h="11907" w:orient="landscape"/>
          <w:pgMar w:top="1588" w:right="1417" w:bottom="1474" w:left="1417" w:header="851" w:footer="850" w:gutter="0"/>
          <w:cols w:space="0" w:num="1"/>
          <w:docGrid w:linePitch="312" w:charSpace="0"/>
        </w:sectPr>
      </w:pPr>
      <w:r>
        <w:rPr>
          <w:rFonts w:hint="eastAsia" w:ascii="黑体" w:eastAsia="黑体"/>
          <w:bCs/>
          <w:sz w:val="18"/>
          <w:szCs w:val="18"/>
        </w:rPr>
        <w:t>注</w:t>
      </w:r>
      <w:r>
        <w:rPr>
          <w:rFonts w:hint="eastAsia"/>
          <w:bCs/>
          <w:sz w:val="18"/>
          <w:szCs w:val="18"/>
        </w:rPr>
        <w:t>：</w:t>
      </w:r>
      <w:r>
        <w:rPr>
          <w:rFonts w:hint="eastAsia" w:ascii="楷体_GB2312" w:eastAsia="楷体_GB2312"/>
          <w:bCs/>
          <w:sz w:val="18"/>
          <w:szCs w:val="18"/>
        </w:rPr>
        <w:t>本表由投标人依据招标文件中对应包件的《物资需求一览表》正确、完整完成。</w:t>
      </w:r>
    </w:p>
    <w:p>
      <w:pPr>
        <w:pStyle w:val="48"/>
        <w:tabs>
          <w:tab w:val="left" w:pos="284"/>
        </w:tabs>
        <w:spacing w:afterLines="50" w:line="0" w:lineRule="atLeast"/>
        <w:ind w:firstLine="0" w:firstLineChars="0"/>
        <w:outlineLvl w:val="1"/>
        <w:rPr>
          <w:rFonts w:ascii="宋体" w:hAnsi="宋体" w:cs="宋体"/>
          <w:sz w:val="22"/>
          <w:szCs w:val="22"/>
        </w:rPr>
      </w:pPr>
      <w:r>
        <w:rPr>
          <w:rFonts w:hint="eastAsia" w:ascii="宋体" w:hAnsi="宋体" w:cs="宋体"/>
          <w:sz w:val="22"/>
          <w:szCs w:val="22"/>
        </w:rPr>
        <w:t>附录7</w:t>
      </w:r>
    </w:p>
    <w:p>
      <w:pPr>
        <w:pStyle w:val="48"/>
        <w:tabs>
          <w:tab w:val="left" w:pos="426"/>
        </w:tabs>
        <w:spacing w:line="300" w:lineRule="auto"/>
        <w:ind w:firstLine="0" w:firstLineChars="0"/>
        <w:jc w:val="center"/>
        <w:rPr>
          <w:rFonts w:ascii="黑体" w:hAnsi="黑体" w:eastAsia="黑体"/>
          <w:sz w:val="28"/>
          <w:szCs w:val="28"/>
        </w:rPr>
      </w:pPr>
      <w:r>
        <w:rPr>
          <w:rFonts w:hint="eastAsia" w:ascii="黑体" w:hAnsi="黑体" w:eastAsia="黑体"/>
          <w:sz w:val="28"/>
          <w:szCs w:val="28"/>
        </w:rPr>
        <w:t>承诺书</w:t>
      </w:r>
    </w:p>
    <w:p>
      <w:pPr>
        <w:pStyle w:val="48"/>
        <w:tabs>
          <w:tab w:val="left" w:pos="426"/>
        </w:tabs>
        <w:spacing w:line="300" w:lineRule="auto"/>
        <w:ind w:firstLine="0" w:firstLineChars="0"/>
        <w:jc w:val="center"/>
        <w:rPr>
          <w:rFonts w:ascii="黑体" w:hAnsi="黑体" w:eastAsia="黑体"/>
          <w:sz w:val="28"/>
          <w:szCs w:val="28"/>
        </w:rPr>
      </w:pPr>
    </w:p>
    <w:p>
      <w:pPr>
        <w:spacing w:line="360" w:lineRule="auto"/>
        <w:rPr>
          <w:rFonts w:ascii="宋体" w:hAnsi="宋体"/>
        </w:rPr>
      </w:pPr>
      <w:r>
        <w:rPr>
          <w:rFonts w:hint="eastAsia" w:ascii="黑体" w:hAnsi="宋体" w:eastAsia="黑体"/>
          <w:sz w:val="24"/>
        </w:rPr>
        <w:t>致</w:t>
      </w:r>
      <w:r>
        <w:rPr>
          <w:rFonts w:ascii="宋体" w:hAnsi="宋体"/>
          <w:sz w:val="24"/>
        </w:rPr>
        <w:t>：</w:t>
      </w:r>
      <w:r>
        <w:rPr>
          <w:rFonts w:hint="eastAsia" w:ascii="楷体_GB2312" w:hAnsi="宋体" w:eastAsia="楷体_GB2312"/>
          <w:b/>
          <w:sz w:val="24"/>
          <w:u w:val="single"/>
        </w:rPr>
        <w:t xml:space="preserve">      </w:t>
      </w:r>
      <w:r>
        <w:rPr>
          <w:rFonts w:hint="eastAsia" w:ascii="楷体_GB2312" w:hAnsi="宋体" w:eastAsia="楷体_GB2312"/>
          <w:sz w:val="24"/>
          <w:u w:val="single"/>
        </w:rPr>
        <w:t xml:space="preserve">(招标人) </w:t>
      </w:r>
      <w:r>
        <w:rPr>
          <w:rFonts w:hint="eastAsia" w:ascii="楷体_GB2312" w:hAnsi="宋体" w:eastAsia="楷体_GB2312"/>
          <w:b/>
          <w:sz w:val="24"/>
          <w:u w:val="single"/>
        </w:rPr>
        <w:t xml:space="preserve">      </w:t>
      </w:r>
    </w:p>
    <w:p>
      <w:pPr>
        <w:spacing w:line="300" w:lineRule="auto"/>
        <w:ind w:firstLine="480" w:firstLineChars="200"/>
        <w:rPr>
          <w:rFonts w:ascii="宋体" w:hAnsi="宋体"/>
          <w:sz w:val="24"/>
        </w:rPr>
      </w:pPr>
    </w:p>
    <w:p>
      <w:pPr>
        <w:spacing w:line="300" w:lineRule="auto"/>
        <w:ind w:firstLine="480" w:firstLineChars="200"/>
        <w:rPr>
          <w:rFonts w:ascii="宋体" w:hAnsi="宋体"/>
          <w:sz w:val="24"/>
        </w:rPr>
      </w:pPr>
      <w:r>
        <w:rPr>
          <w:rFonts w:hint="eastAsia" w:ascii="宋体" w:hAnsi="宋体"/>
          <w:sz w:val="24"/>
        </w:rPr>
        <w:t>我方完全接受评标委员会根据招标文件第五部分《评标办法》3.5款的规定，修正和评定评标价。</w:t>
      </w:r>
    </w:p>
    <w:p>
      <w:pPr>
        <w:spacing w:line="300" w:lineRule="auto"/>
        <w:ind w:firstLine="480" w:firstLineChars="200"/>
        <w:rPr>
          <w:rFonts w:ascii="宋体" w:hAnsi="宋体"/>
          <w:sz w:val="24"/>
        </w:rPr>
      </w:pPr>
      <w:r>
        <w:rPr>
          <w:rFonts w:hint="eastAsia" w:ascii="宋体" w:hAnsi="宋体"/>
          <w:sz w:val="24"/>
        </w:rPr>
        <w:t>若我方中标，我方承诺：</w:t>
      </w:r>
    </w:p>
    <w:p>
      <w:pPr>
        <w:numPr>
          <w:ilvl w:val="0"/>
          <w:numId w:val="8"/>
        </w:numPr>
        <w:spacing w:line="300" w:lineRule="auto"/>
        <w:ind w:firstLine="480" w:firstLineChars="200"/>
        <w:rPr>
          <w:rFonts w:ascii="宋体" w:hAnsi="宋体"/>
          <w:sz w:val="24"/>
        </w:rPr>
      </w:pPr>
      <w:r>
        <w:rPr>
          <w:rFonts w:hint="eastAsia" w:ascii="宋体" w:hAnsi="宋体"/>
          <w:sz w:val="24"/>
        </w:rPr>
        <w:t>如果修正后的投标价低于开标时的唱标价，以修正后的报价与招标人签订合同；</w:t>
      </w:r>
    </w:p>
    <w:p>
      <w:pPr>
        <w:numPr>
          <w:ilvl w:val="0"/>
          <w:numId w:val="8"/>
        </w:numPr>
        <w:spacing w:line="300" w:lineRule="auto"/>
        <w:ind w:firstLine="480" w:firstLineChars="200"/>
        <w:rPr>
          <w:rFonts w:ascii="宋体" w:hAnsi="宋体"/>
          <w:sz w:val="24"/>
        </w:rPr>
      </w:pPr>
      <w:r>
        <w:rPr>
          <w:rFonts w:hint="eastAsia" w:ascii="宋体" w:hAnsi="宋体"/>
          <w:sz w:val="24"/>
        </w:rPr>
        <w:t>如果修正后的投标报价高于开标时的唱标价，以唱标价与招标人签订合同。</w:t>
      </w: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投标人（公章）：</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u w:val="single"/>
        </w:rPr>
      </w:pPr>
      <w:r>
        <w:rPr>
          <w:rFonts w:ascii="宋体" w:hAnsi="宋体"/>
          <w:sz w:val="24"/>
        </w:rPr>
        <w:t>法定代表人或其授权代理人签字：</w:t>
      </w:r>
      <w:r>
        <w:rPr>
          <w:rFonts w:hint="eastAsia" w:ascii="宋体" w:hAnsi="宋体"/>
          <w:sz w:val="24"/>
          <w:u w:val="single"/>
        </w:rPr>
        <w:t>　　　　　　　　　</w:t>
      </w:r>
    </w:p>
    <w:p>
      <w:pPr>
        <w:spacing w:line="300" w:lineRule="auto"/>
        <w:jc w:val="right"/>
        <w:rPr>
          <w:rFonts w:ascii="宋体" w:hAnsi="宋体"/>
          <w:sz w:val="24"/>
        </w:rPr>
      </w:pPr>
    </w:p>
    <w:p>
      <w:pPr>
        <w:wordWrap w:val="0"/>
        <w:spacing w:line="300" w:lineRule="auto"/>
        <w:jc w:val="right"/>
        <w:rPr>
          <w:rFonts w:ascii="宋体" w:hAnsi="宋体"/>
          <w:sz w:val="24"/>
        </w:rPr>
      </w:pPr>
      <w:r>
        <w:rPr>
          <w:rFonts w:hint="eastAsia" w:ascii="宋体" w:hAnsi="宋体"/>
          <w:sz w:val="24"/>
        </w:rPr>
        <w:t>________</w:t>
      </w:r>
      <w:r>
        <w:rPr>
          <w:rFonts w:ascii="宋体" w:hAnsi="宋体"/>
          <w:sz w:val="24"/>
        </w:rPr>
        <w:t>年</w:t>
      </w:r>
      <w:r>
        <w:rPr>
          <w:rFonts w:hint="eastAsia" w:ascii="宋体" w:hAnsi="宋体"/>
          <w:sz w:val="24"/>
        </w:rPr>
        <w:t>___</w:t>
      </w:r>
      <w:r>
        <w:rPr>
          <w:rFonts w:ascii="宋体" w:hAnsi="宋体"/>
          <w:sz w:val="24"/>
        </w:rPr>
        <w:t>月</w:t>
      </w:r>
      <w:r>
        <w:rPr>
          <w:rFonts w:hint="eastAsia" w:ascii="宋体" w:hAnsi="宋体"/>
          <w:sz w:val="24"/>
        </w:rPr>
        <w:t>___</w:t>
      </w:r>
      <w:r>
        <w:rPr>
          <w:rFonts w:ascii="宋体" w:hAnsi="宋体"/>
          <w:sz w:val="24"/>
        </w:rPr>
        <w:t>日</w:t>
      </w:r>
    </w:p>
    <w:p>
      <w:pPr>
        <w:spacing w:line="300" w:lineRule="auto"/>
        <w:rPr>
          <w:rFonts w:ascii="楷体_GB2312" w:eastAsia="楷体_GB2312"/>
          <w:bCs/>
          <w:sz w:val="18"/>
          <w:szCs w:val="18"/>
        </w:rPr>
      </w:pPr>
    </w:p>
    <w:sectPr>
      <w:headerReference r:id="rId27" w:type="default"/>
      <w:pgSz w:w="11907" w:h="16840"/>
      <w:pgMar w:top="1417" w:right="1474" w:bottom="1417" w:left="1588" w:header="851" w:footer="850"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86"/>
    <w:family w:val="decorative"/>
    <w:pitch w:val="default"/>
    <w:sig w:usb0="00000000" w:usb1="00000000" w:usb2="00000000" w:usb3="00000000" w:csb0="00040000" w:csb1="00000000"/>
  </w:font>
  <w:font w:name="Arial Unicode MS">
    <w:altName w:val="Arial"/>
    <w:panose1 w:val="020B0604020202020204"/>
    <w:charset w:val="00"/>
    <w:family w:val="roman"/>
    <w:pitch w:val="default"/>
    <w:sig w:usb0="00000000" w:usb1="00000000" w:usb2="00000000" w:usb3="00000000" w:csb0="00000001" w:csb1="00000000"/>
  </w:font>
  <w:font w:name="Tahoma">
    <w:panose1 w:val="020B0604030504040204"/>
    <w:charset w:val="00"/>
    <w:family w:val="swiss"/>
    <w:pitch w:val="default"/>
    <w:sig w:usb0="E1002EFF" w:usb1="C000605B" w:usb2="00000029" w:usb3="00000000" w:csb0="200101FF" w:csb1="20280000"/>
  </w:font>
  <w:font w:name="华文细黑">
    <w:altName w:val="微软雅黑"/>
    <w:panose1 w:val="00000000000000000000"/>
    <w:charset w:val="86"/>
    <w:family w:val="auto"/>
    <w:pitch w:val="default"/>
    <w:sig w:usb0="00000000" w:usb1="00000000" w:usb2="00000000" w:usb3="00000000" w:csb0="0004009F" w:csb1="DFD70000"/>
  </w:font>
  <w:font w:name="黑体..">
    <w:altName w:val="黑体"/>
    <w:panose1 w:val="00000000000000000000"/>
    <w:charset w:val="86"/>
    <w:family w:val="auto"/>
    <w:pitch w:val="default"/>
    <w:sig w:usb0="00000000" w:usb1="00000000" w:usb2="00000010" w:usb3="00000000" w:csb0="00040000" w:csb1="00000000"/>
  </w:font>
  <w:font w:name="Cambria">
    <w:panose1 w:val="02040503050406030204"/>
    <w:charset w:val="00"/>
    <w:family w:val="roman"/>
    <w:pitch w:val="default"/>
    <w:sig w:usb0="E00002FF" w:usb1="400004FF" w:usb2="00000000" w:usb3="00000000" w:csb0="2000019F" w:csb1="00000000"/>
  </w:font>
  <w:font w:name="SJQY">
    <w:altName w:val="微软雅黑"/>
    <w:panose1 w:val="00000000000000000000"/>
    <w:charset w:val="00"/>
    <w:family w:val="auto"/>
    <w:pitch w:val="default"/>
    <w:sig w:usb0="00000000" w:usb1="00000000" w:usb2="00000000" w:usb3="00000000" w:csb0="00040001" w:csb1="00000000"/>
  </w:font>
  <w:font w:name="方正小标宋简体">
    <w:altName w:val="微软雅黑"/>
    <w:panose1 w:val="00000000000000000000"/>
    <w:charset w:val="86"/>
    <w:family w:val="script"/>
    <w:pitch w:val="default"/>
    <w:sig w:usb0="00000000" w:usb1="00000000" w:usb2="00000000" w:usb3="00000000" w:csb0="00040000" w:csb1="00000000"/>
  </w:font>
  <w:font w:name="ˎ̥">
    <w:altName w:val="Times New Roman"/>
    <w:panose1 w:val="00000000000000000000"/>
    <w:charset w:val="00"/>
    <w:family w:val="moder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decorative"/>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sz w:val="21"/>
        <w:szCs w:val="21"/>
      </w:rPr>
    </w:pPr>
    <w:r>
      <w:rPr>
        <w:rFonts w:ascii="宋体" w:hAnsi="宋体"/>
        <w:sz w:val="21"/>
        <w:szCs w:val="21"/>
      </w:rPr>
      <w:fldChar w:fldCharType="begin"/>
    </w:r>
    <w:r>
      <w:rPr>
        <w:rFonts w:ascii="宋体" w:hAnsi="宋体"/>
        <w:sz w:val="21"/>
        <w:szCs w:val="21"/>
      </w:rPr>
      <w:instrText xml:space="preserve">PAGE   \* MERGEFORMAT</w:instrText>
    </w:r>
    <w:r>
      <w:rPr>
        <w:rFonts w:ascii="宋体" w:hAnsi="宋体"/>
        <w:sz w:val="21"/>
        <w:szCs w:val="21"/>
      </w:rPr>
      <w:fldChar w:fldCharType="separate"/>
    </w:r>
    <w:r>
      <w:t>1</w:t>
    </w:r>
    <w:r>
      <w:rPr>
        <w:rFonts w:ascii="宋体" w:hAnsi="宋体"/>
        <w:sz w:val="21"/>
        <w:szCs w:val="21"/>
      </w:rPr>
      <w:fldChar w:fldCharType="end"/>
    </w:r>
  </w:p>
  <w:p>
    <w:pPr>
      <w:pStyle w:val="26"/>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22" o:spid="_x0000_s4100"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BtR7M/yQEAAHc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39</w:t>
                </w:r>
                <w:r>
                  <w:rPr>
                    <w:rFonts w:hint="eastAsia"/>
                    <w:sz w:val="18"/>
                  </w:rPr>
                  <w:fldChar w:fldCharType="end"/>
                </w:r>
              </w:p>
            </w:txbxContent>
          </v:textbox>
        </v:shape>
      </w:pic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center"/>
      <w:rPr>
        <w:rFonts w:ascii="宋体" w:hAnsi="宋体"/>
      </w:rPr>
    </w:pPr>
    <w:r>
      <w:rPr>
        <w:rFonts w:ascii="宋体" w:hAnsi="宋体"/>
        <w:sz w:val="21"/>
        <w:szCs w:val="21"/>
      </w:rPr>
      <w:fldChar w:fldCharType="begin"/>
    </w:r>
    <w:r>
      <w:rPr>
        <w:rFonts w:ascii="宋体" w:hAnsi="宋体"/>
        <w:sz w:val="21"/>
        <w:szCs w:val="21"/>
      </w:rPr>
      <w:instrText xml:space="preserve"> PAGE   \* MERGEFORMAT </w:instrText>
    </w:r>
    <w:r>
      <w:rPr>
        <w:rFonts w:ascii="宋体" w:hAnsi="宋体"/>
        <w:sz w:val="21"/>
        <w:szCs w:val="21"/>
      </w:rPr>
      <w:fldChar w:fldCharType="separate"/>
    </w:r>
    <w:r>
      <w:t>1</w:t>
    </w:r>
    <w:r>
      <w:rPr>
        <w:rFonts w:ascii="宋体" w:hAnsi="宋体"/>
        <w:sz w:val="21"/>
        <w:szCs w:val="21"/>
      </w:rPr>
      <w:fldChar w:fldCharType="end"/>
    </w:r>
  </w:p>
  <w:p>
    <w:pPr>
      <w:pStyle w:val="2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19" o:spid="_x0000_s4098"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ajE9hyQEAAHYDAAAOAAAAAAAAAAEAIAAAAB4BAABkcnMvZTJvRG9j&#10;LnhtbFBLBQYAAAAABgAGAFkBAABZBQ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20" o:spid="_x0000_s4097"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AAAAAZHJzL1BLAQIU&#10;ABQAAAAIAIdO4kDOqXm5zwAAAAUBAAAPAAAAAAAAAAEAIAAAACIAAABkcnMvZG93bnJldi54bWxQ&#10;SwECFAAUAAAACACHTuJAvfL2+ccBAAB2AwAADgAAAAAAAAABACAAAAAeAQAAZHJzL2Uyb0RvYy54&#10;bWxQSwUGAAAAAAYABgBZAQAAVwU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pPr>
    <w:r>
      <w:pict>
        <v:shape id="文本框 21" o:spid="_x0000_s4099"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D+bGEPIAQAAdgMAAA4AAAAAAAAAAQAgAAAAHgEAAGRycy9lMm9Eb2Mu&#10;eG1sUEsFBgAAAAAGAAYAWQEAAFgFAAAAAA==&#10;">
          <v:path/>
          <v:fill on="f" focussize="0,0"/>
          <v:stroke on="f"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13</w:t>
                </w:r>
                <w:r>
                  <w:rPr>
                    <w:rFonts w:hint="eastAsia"/>
                    <w:sz w:val="18"/>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中铁城建集团第一工程有限公司物资集中采购招标文</w:t>
    </w:r>
    <w:r>
      <w:drawing>
        <wp:anchor distT="0" distB="0" distL="114300" distR="114300" simplePos="0" relativeHeight="251652096" behindDoc="0" locked="0" layoutInCell="1" allowOverlap="1">
          <wp:simplePos x="0" y="0"/>
          <wp:positionH relativeFrom="column">
            <wp:posOffset>-1799590</wp:posOffset>
          </wp:positionH>
          <wp:positionV relativeFrom="paragraph">
            <wp:posOffset>192405</wp:posOffset>
          </wp:positionV>
          <wp:extent cx="8351520" cy="40640"/>
          <wp:effectExtent l="0" t="0" r="11430" b="16510"/>
          <wp:wrapNone/>
          <wp:docPr id="5"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r>
      <w:rPr>
        <w:rFonts w:hint="eastAsia"/>
        <w:lang w:val="zh-CN"/>
      </w:rPr>
      <w:t>件</w:t>
    </w:r>
  </w:p>
  <w:p>
    <w:pPr>
      <w:pStyle w:val="27"/>
      <w:pBdr>
        <w:bottom w:val="none" w:color="auto" w:sz="0" w:space="0"/>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中铁城建集团第一工程有限公司物资采购招标文件</w:t>
    </w:r>
  </w:p>
  <w:p>
    <w:pPr>
      <w:pStyle w:val="27"/>
      <w:pBdr>
        <w:bottom w:val="none" w:color="auto" w:sz="0" w:space="0"/>
      </w:pBdr>
    </w:pPr>
    <w:r>
      <w:drawing>
        <wp:anchor distT="0" distB="0" distL="114300" distR="114300" simplePos="0" relativeHeight="251657216" behindDoc="0" locked="0" layoutInCell="1" allowOverlap="1">
          <wp:simplePos x="0" y="0"/>
          <wp:positionH relativeFrom="column">
            <wp:posOffset>-1727200</wp:posOffset>
          </wp:positionH>
          <wp:positionV relativeFrom="paragraph">
            <wp:posOffset>33655</wp:posOffset>
          </wp:positionV>
          <wp:extent cx="11521440" cy="80010"/>
          <wp:effectExtent l="0" t="0" r="3810" b="15240"/>
          <wp:wrapNone/>
          <wp:docPr id="22"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 descr="未标题-3.png"/>
                  <pic:cNvPicPr>
                    <a:picLocks noChangeAspect="1"/>
                  </pic:cNvPicPr>
                </pic:nvPicPr>
                <pic:blipFill>
                  <a:blip r:embed="rId1"/>
                  <a:stretch>
                    <a:fillRect/>
                  </a:stretch>
                </pic:blipFill>
                <pic:spPr>
                  <a:xfrm flipV="1">
                    <a:off x="0" y="0"/>
                    <a:ext cx="11521440" cy="80010"/>
                  </a:xfrm>
                  <a:prstGeom prst="rect">
                    <a:avLst/>
                  </a:prstGeom>
                  <a:noFill/>
                  <a:ln w="9525">
                    <a:noFill/>
                    <a:miter/>
                  </a:ln>
                </pic:spPr>
              </pic:pic>
            </a:graphicData>
          </a:graphic>
        </wp:anchor>
      </w:drawing>
    </w:r>
  </w:p>
  <w:p>
    <w:pPr>
      <w:pStyle w:val="27"/>
      <w:pBdr>
        <w:bottom w:val="none" w:color="auto" w:sz="0" w:space="0"/>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ind w:firstLine="360"/>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中铁城建集团第一工程有限公司物资采购招标文件</w:t>
    </w:r>
  </w:p>
  <w:p>
    <w:pPr>
      <w:pStyle w:val="27"/>
      <w:pBdr>
        <w:bottom w:val="none" w:color="auto" w:sz="0" w:space="0"/>
      </w:pBdr>
    </w:pPr>
    <w:r>
      <w:drawing>
        <wp:anchor distT="0" distB="0" distL="114300" distR="114300" simplePos="0" relativeHeight="251659264" behindDoc="0" locked="0" layoutInCell="1" allowOverlap="1">
          <wp:simplePos x="0" y="0"/>
          <wp:positionH relativeFrom="column">
            <wp:posOffset>-1799590</wp:posOffset>
          </wp:positionH>
          <wp:positionV relativeFrom="paragraph">
            <wp:posOffset>19685</wp:posOffset>
          </wp:positionV>
          <wp:extent cx="8351520" cy="40640"/>
          <wp:effectExtent l="0" t="0" r="11430" b="16510"/>
          <wp:wrapNone/>
          <wp:docPr id="11"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pPr>
  </w:p>
  <w:p>
    <w:pPr>
      <w:pStyle w:val="27"/>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drawing>
        <wp:anchor distT="0" distB="0" distL="114300" distR="114300" simplePos="0" relativeHeight="251654144" behindDoc="0" locked="0" layoutInCell="1" allowOverlap="1">
          <wp:simplePos x="0" y="0"/>
          <wp:positionH relativeFrom="column">
            <wp:posOffset>-1800225</wp:posOffset>
          </wp:positionH>
          <wp:positionV relativeFrom="paragraph">
            <wp:posOffset>192405</wp:posOffset>
          </wp:positionV>
          <wp:extent cx="8351520" cy="40640"/>
          <wp:effectExtent l="0" t="0" r="11430" b="16510"/>
          <wp:wrapNone/>
          <wp:docPr id="15"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r>
      <w:rPr>
        <w:rFonts w:hint="eastAsia"/>
        <w:lang w:val="zh-CN"/>
      </w:rPr>
      <w:t>中铁城建集团第一工程有限公司物资采购招标文件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w:t>
    </w:r>
    <w:r>
      <w:drawing>
        <wp:anchor distT="0" distB="0" distL="114300" distR="114300" simplePos="0" relativeHeight="251653120" behindDoc="0" locked="0" layoutInCell="1" allowOverlap="1">
          <wp:simplePos x="0" y="0"/>
          <wp:positionH relativeFrom="column">
            <wp:posOffset>-1800225</wp:posOffset>
          </wp:positionH>
          <wp:positionV relativeFrom="paragraph">
            <wp:posOffset>192405</wp:posOffset>
          </wp:positionV>
          <wp:extent cx="8351520" cy="40640"/>
          <wp:effectExtent l="0" t="0" r="11430" b="16510"/>
          <wp:wrapNone/>
          <wp:docPr id="9"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r>
      <w:rPr>
        <w:rFonts w:hint="eastAsia"/>
        <w:lang w:val="zh-CN"/>
      </w:rPr>
      <w:t>件</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7"/>
      <w:pBdr>
        <w:bottom w:val="none" w:color="auto" w:sz="0" w:space="0"/>
      </w:pBdr>
      <w:rPr>
        <w:szCs w:val="21"/>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中铁城建集团第一工程有限公司物资采购招标文件</w:t>
    </w:r>
  </w:p>
  <w:p>
    <w:pPr>
      <w:pStyle w:val="27"/>
      <w:pBdr>
        <w:bottom w:val="none" w:color="auto" w:sz="0" w:space="0"/>
      </w:pBdr>
    </w:pPr>
    <w:r>
      <w:drawing>
        <wp:anchor distT="0" distB="0" distL="114300" distR="114300" simplePos="0" relativeHeight="251658240" behindDoc="0" locked="0" layoutInCell="1" allowOverlap="1">
          <wp:simplePos x="0" y="0"/>
          <wp:positionH relativeFrom="column">
            <wp:posOffset>-1799590</wp:posOffset>
          </wp:positionH>
          <wp:positionV relativeFrom="paragraph">
            <wp:posOffset>40005</wp:posOffset>
          </wp:positionV>
          <wp:extent cx="11474450" cy="76200"/>
          <wp:effectExtent l="0" t="0" r="12700" b="0"/>
          <wp:wrapNone/>
          <wp:docPr id="7"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1"/>
                  <pic:cNvPicPr>
                    <a:picLocks noChangeAspect="1"/>
                  </pic:cNvPicPr>
                </pic:nvPicPr>
                <pic:blipFill>
                  <a:blip r:embed="rId1">
                    <a:lum/>
                  </a:blip>
                  <a:stretch>
                    <a:fillRect/>
                  </a:stretch>
                </pic:blipFill>
                <pic:spPr>
                  <a:xfrm flipV="1">
                    <a:off x="0" y="0"/>
                    <a:ext cx="11474450" cy="76200"/>
                  </a:xfrm>
                  <a:prstGeom prst="rect">
                    <a:avLst/>
                  </a:prstGeom>
                  <a:noFill/>
                  <a:ln w="9525">
                    <a:noFill/>
                    <a:miter/>
                  </a:ln>
                </pic:spPr>
              </pic:pic>
            </a:graphicData>
          </a:graphic>
        </wp:anchor>
      </w:drawing>
    </w:r>
  </w:p>
  <w:p>
    <w:pPr>
      <w:pStyle w:val="27"/>
      <w:pBdr>
        <w:bottom w:val="none" w:color="auto" w:sz="0" w:space="0"/>
      </w:pBdr>
      <w:ind w:firstLine="36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中铁城建集团第一工程有限公司物资采购招标文件</w:t>
    </w:r>
  </w:p>
  <w:p>
    <w:pPr>
      <w:pStyle w:val="27"/>
      <w:pBdr>
        <w:bottom w:val="none" w:color="auto" w:sz="0" w:space="0"/>
      </w:pBdr>
    </w:pPr>
  </w:p>
  <w:p>
    <w:pPr>
      <w:pStyle w:val="27"/>
      <w:pBdr>
        <w:bottom w:val="none" w:color="auto" w:sz="0" w:space="0"/>
      </w:pBdr>
      <w:ind w:firstLine="360"/>
    </w:pPr>
    <w:r>
      <w:drawing>
        <wp:anchor distT="0" distB="0" distL="114300" distR="114300" simplePos="0" relativeHeight="251655168" behindDoc="0" locked="0" layoutInCell="1" allowOverlap="1">
          <wp:simplePos x="0" y="0"/>
          <wp:positionH relativeFrom="column">
            <wp:posOffset>-1727200</wp:posOffset>
          </wp:positionH>
          <wp:positionV relativeFrom="paragraph">
            <wp:posOffset>-120015</wp:posOffset>
          </wp:positionV>
          <wp:extent cx="8351520" cy="40640"/>
          <wp:effectExtent l="0" t="0" r="11430" b="16510"/>
          <wp:wrapNone/>
          <wp:docPr id="6"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rPr>
        <w:rFonts w:ascii="黑体" w:hAnsi="黑体" w:eastAsia="黑体"/>
      </w:rPr>
    </w:pPr>
    <w:r>
      <w:rPr>
        <w:rFonts w:hint="eastAsia"/>
        <w:lang w:val="zh-CN"/>
      </w:rPr>
      <w:t>中铁城建集团第一工程有限公司物资采购招标文件</w:t>
    </w:r>
    <w:r>
      <w:drawing>
        <wp:anchor distT="0" distB="0" distL="114300" distR="114300" simplePos="0" relativeHeight="251656192" behindDoc="0" locked="0" layoutInCell="1" allowOverlap="1">
          <wp:simplePos x="0" y="0"/>
          <wp:positionH relativeFrom="column">
            <wp:posOffset>-1727200</wp:posOffset>
          </wp:positionH>
          <wp:positionV relativeFrom="paragraph">
            <wp:posOffset>192405</wp:posOffset>
          </wp:positionV>
          <wp:extent cx="8351520" cy="40640"/>
          <wp:effectExtent l="0" t="0" r="11430" b="16510"/>
          <wp:wrapNone/>
          <wp:docPr id="20" name="图片 1" descr="未标题-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 descr="未标题-3.png"/>
                  <pic:cNvPicPr>
                    <a:picLocks noChangeAspect="1"/>
                  </pic:cNvPicPr>
                </pic:nvPicPr>
                <pic:blipFill>
                  <a:blip r:embed="rId1"/>
                  <a:stretch>
                    <a:fillRect/>
                  </a:stretch>
                </pic:blipFill>
                <pic:spPr>
                  <a:xfrm>
                    <a:off x="0" y="0"/>
                    <a:ext cx="8351520" cy="40640"/>
                  </a:xfrm>
                  <a:prstGeom prst="rect">
                    <a:avLst/>
                  </a:prstGeom>
                  <a:noFill/>
                  <a:ln w="9525">
                    <a:noFill/>
                    <a:miter/>
                  </a:ln>
                </pic:spPr>
              </pic:pic>
            </a:graphicData>
          </a:graphic>
        </wp:anchor>
      </w:drawing>
    </w:r>
  </w:p>
  <w:p>
    <w:pPr>
      <w:pStyle w:val="27"/>
      <w:pBdr>
        <w:bottom w:val="none" w:color="auto" w:sz="0" w:space="0"/>
      </w:pBdr>
    </w:pPr>
  </w:p>
  <w:p>
    <w:pPr>
      <w:pStyle w:val="2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FFFFFF88"/>
    <w:lvl w:ilvl="0" w:tentative="0">
      <w:start w:val="1"/>
      <w:numFmt w:val="decimal"/>
      <w:pStyle w:val="12"/>
      <w:lvlText w:val="%1."/>
      <w:lvlJc w:val="left"/>
      <w:pPr>
        <w:tabs>
          <w:tab w:val="left" w:pos="360"/>
        </w:tabs>
        <w:ind w:left="360" w:hanging="360" w:hangingChars="200"/>
      </w:pPr>
    </w:lvl>
  </w:abstractNum>
  <w:abstractNum w:abstractNumId="1">
    <w:nsid w:val="00000000"/>
    <w:multiLevelType w:val="singleLevel"/>
    <w:tmpl w:val="00000000"/>
    <w:lvl w:ilvl="0" w:tentative="0">
      <w:start w:val="1"/>
      <w:numFmt w:val="chineseCounting"/>
      <w:suff w:val="nothing"/>
      <w:lvlText w:val="%1、"/>
      <w:lvlJc w:val="left"/>
    </w:lvl>
  </w:abstractNum>
  <w:abstractNum w:abstractNumId="2">
    <w:nsid w:val="0232AA9B"/>
    <w:multiLevelType w:val="singleLevel"/>
    <w:tmpl w:val="0232AA9B"/>
    <w:lvl w:ilvl="0" w:tentative="0">
      <w:start w:val="2"/>
      <w:numFmt w:val="chineseCounting"/>
      <w:suff w:val="space"/>
      <w:lvlText w:val="第%1部分"/>
      <w:lvlJc w:val="left"/>
      <w:rPr>
        <w:rFonts w:hint="eastAsia"/>
      </w:rPr>
    </w:lvl>
  </w:abstractNum>
  <w:abstractNum w:abstractNumId="3">
    <w:nsid w:val="3DFC3DA7"/>
    <w:multiLevelType w:val="multilevel"/>
    <w:tmpl w:val="3DFC3DA7"/>
    <w:lvl w:ilvl="0" w:tentative="0">
      <w:start w:val="1"/>
      <w:numFmt w:val="chineseCountingThousand"/>
      <w:lvlText w:val="%1、"/>
      <w:lvlJc w:val="left"/>
      <w:pPr>
        <w:ind w:left="420" w:hanging="420"/>
      </w:pPr>
      <w:rPr>
        <w:rFonts w:hint="eastAsia"/>
      </w:rPr>
    </w:lvl>
    <w:lvl w:ilvl="1" w:tentative="0">
      <w:start w:val="1"/>
      <w:numFmt w:val="decimal"/>
      <w:pStyle w:val="55"/>
      <w:lvlText w:val="%2、"/>
      <w:lvlJc w:val="left"/>
      <w:pPr>
        <w:ind w:left="780" w:hanging="360"/>
      </w:pPr>
      <w:rPr>
        <w:rFonts w:hint="default"/>
      </w:rPr>
    </w:lvl>
    <w:lvl w:ilvl="2" w:tentative="0">
      <w:start w:val="1"/>
      <w:numFmt w:val="chineseCountingThousand"/>
      <w:lvlText w:val="%3、"/>
      <w:lvlJc w:val="left"/>
      <w:pPr>
        <w:ind w:left="1260" w:hanging="420"/>
      </w:pPr>
      <w:rPr>
        <w:rFonts w:hint="eastAsia"/>
      </w:rPr>
    </w:lvl>
    <w:lvl w:ilvl="3" w:tentative="0">
      <w:start w:val="1"/>
      <w:numFmt w:val="japaneseCounting"/>
      <w:lvlText w:val="%4、"/>
      <w:lvlJc w:val="left"/>
      <w:pPr>
        <w:ind w:left="1680" w:hanging="420"/>
      </w:pPr>
      <w:rPr>
        <w:rFonts w:hint="eastAsia"/>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A6179D"/>
    <w:multiLevelType w:val="singleLevel"/>
    <w:tmpl w:val="59A6179D"/>
    <w:lvl w:ilvl="0" w:tentative="0">
      <w:start w:val="1"/>
      <w:numFmt w:val="decimal"/>
      <w:suff w:val="nothing"/>
      <w:lvlText w:val="（%1）"/>
      <w:lvlJc w:val="left"/>
    </w:lvl>
  </w:abstractNum>
  <w:abstractNum w:abstractNumId="5">
    <w:nsid w:val="5AE27830"/>
    <w:multiLevelType w:val="singleLevel"/>
    <w:tmpl w:val="5AE27830"/>
    <w:lvl w:ilvl="0" w:tentative="0">
      <w:start w:val="1"/>
      <w:numFmt w:val="decimal"/>
      <w:suff w:val="nothing"/>
      <w:lvlText w:val="（%1）"/>
      <w:lvlJc w:val="left"/>
    </w:lvl>
  </w:abstractNum>
  <w:abstractNum w:abstractNumId="6">
    <w:nsid w:val="6B277612"/>
    <w:multiLevelType w:val="multilevel"/>
    <w:tmpl w:val="6B277612"/>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70BD47CF"/>
    <w:multiLevelType w:val="multilevel"/>
    <w:tmpl w:val="70BD47CF"/>
    <w:lvl w:ilvl="0" w:tentative="0">
      <w:start w:val="1"/>
      <w:numFmt w:val="decimal"/>
      <w:pStyle w:val="52"/>
      <w:lvlText w:val="%1."/>
      <w:lvlJc w:val="left"/>
      <w:pPr>
        <w:tabs>
          <w:tab w:val="left" w:pos="425"/>
        </w:tabs>
        <w:ind w:left="425" w:hanging="425"/>
      </w:pPr>
    </w:lvl>
    <w:lvl w:ilvl="1" w:tentative="0">
      <w:start w:val="1"/>
      <w:numFmt w:val="decimal"/>
      <w:lvlText w:val="%1.%2."/>
      <w:lvlJc w:val="left"/>
      <w:pPr>
        <w:tabs>
          <w:tab w:val="left" w:pos="567"/>
        </w:tabs>
        <w:ind w:left="567" w:hanging="567"/>
      </w:pPr>
    </w:lvl>
    <w:lvl w:ilvl="2" w:tentative="0">
      <w:start w:val="1"/>
      <w:numFmt w:val="decimal"/>
      <w:lvlText w:val="%1.%2.%3."/>
      <w:lvlJc w:val="left"/>
      <w:pPr>
        <w:tabs>
          <w:tab w:val="left" w:pos="709"/>
        </w:tabs>
        <w:ind w:left="709" w:hanging="709"/>
      </w:pPr>
    </w:lvl>
    <w:lvl w:ilvl="3" w:tentative="0">
      <w:start w:val="1"/>
      <w:numFmt w:val="decimal"/>
      <w:lvlText w:val="%1.%2.%3.%4."/>
      <w:lvlJc w:val="left"/>
      <w:pPr>
        <w:tabs>
          <w:tab w:val="left" w:pos="851"/>
        </w:tabs>
        <w:ind w:left="851" w:hanging="851"/>
      </w:pPr>
    </w:lvl>
    <w:lvl w:ilvl="4" w:tentative="0">
      <w:start w:val="1"/>
      <w:numFmt w:val="decimal"/>
      <w:lvlText w:val="%1.%2.%3.%4.%5."/>
      <w:lvlJc w:val="left"/>
      <w:pPr>
        <w:tabs>
          <w:tab w:val="left" w:pos="992"/>
        </w:tabs>
        <w:ind w:left="992" w:hanging="992"/>
      </w:pPr>
    </w:lvl>
    <w:lvl w:ilvl="5" w:tentative="0">
      <w:start w:val="1"/>
      <w:numFmt w:val="decimal"/>
      <w:lvlText w:val="%1.%2.%3.%4.%5.%6."/>
      <w:lvlJc w:val="left"/>
      <w:pPr>
        <w:tabs>
          <w:tab w:val="left" w:pos="1134"/>
        </w:tabs>
        <w:ind w:left="1134" w:hanging="1134"/>
      </w:pPr>
    </w:lvl>
    <w:lvl w:ilvl="6" w:tentative="0">
      <w:start w:val="1"/>
      <w:numFmt w:val="decimal"/>
      <w:lvlText w:val="%1.%2.%3.%4.%5.%6.%7."/>
      <w:lvlJc w:val="left"/>
      <w:pPr>
        <w:tabs>
          <w:tab w:val="left" w:pos="1276"/>
        </w:tabs>
        <w:ind w:left="1276" w:hanging="1276"/>
      </w:pPr>
    </w:lvl>
    <w:lvl w:ilvl="7" w:tentative="0">
      <w:start w:val="1"/>
      <w:numFmt w:val="decimal"/>
      <w:lvlText w:val="%1.%2.%3.%4.%5.%6.%7.%8."/>
      <w:lvlJc w:val="left"/>
      <w:pPr>
        <w:tabs>
          <w:tab w:val="left" w:pos="1418"/>
        </w:tabs>
        <w:ind w:left="1418" w:hanging="1418"/>
      </w:pPr>
    </w:lvl>
    <w:lvl w:ilvl="8" w:tentative="0">
      <w:start w:val="1"/>
      <w:numFmt w:val="decimal"/>
      <w:lvlText w:val="%1.%2.%3.%4.%5.%6.%7.%8.%9."/>
      <w:lvlJc w:val="left"/>
      <w:pPr>
        <w:tabs>
          <w:tab w:val="left" w:pos="1559"/>
        </w:tabs>
        <w:ind w:left="1559" w:hanging="1559"/>
      </w:pPr>
    </w:lvl>
  </w:abstractNum>
  <w:num w:numId="1">
    <w:abstractNumId w:val="0"/>
  </w:num>
  <w:num w:numId="2">
    <w:abstractNumId w:val="7"/>
  </w:num>
  <w:num w:numId="3">
    <w:abstractNumId w:val="3"/>
  </w:num>
  <w:num w:numId="4">
    <w:abstractNumId w:val="6"/>
  </w:num>
  <w:num w:numId="5">
    <w:abstractNumId w:val="4"/>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val="1"/>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A93516"/>
    <w:rsid w:val="00001691"/>
    <w:rsid w:val="000022DF"/>
    <w:rsid w:val="000035E6"/>
    <w:rsid w:val="00004163"/>
    <w:rsid w:val="000042F5"/>
    <w:rsid w:val="00004C2B"/>
    <w:rsid w:val="00004F7A"/>
    <w:rsid w:val="0000605F"/>
    <w:rsid w:val="00006076"/>
    <w:rsid w:val="000071E6"/>
    <w:rsid w:val="00012296"/>
    <w:rsid w:val="0001328F"/>
    <w:rsid w:val="00013886"/>
    <w:rsid w:val="0001389D"/>
    <w:rsid w:val="00015793"/>
    <w:rsid w:val="00016EB2"/>
    <w:rsid w:val="00017F37"/>
    <w:rsid w:val="00021758"/>
    <w:rsid w:val="0002185A"/>
    <w:rsid w:val="00021956"/>
    <w:rsid w:val="000220F7"/>
    <w:rsid w:val="00022689"/>
    <w:rsid w:val="0002286F"/>
    <w:rsid w:val="00022CBE"/>
    <w:rsid w:val="00022DB1"/>
    <w:rsid w:val="00023F60"/>
    <w:rsid w:val="00023FC7"/>
    <w:rsid w:val="00027BB1"/>
    <w:rsid w:val="00027F12"/>
    <w:rsid w:val="000303C6"/>
    <w:rsid w:val="0003052C"/>
    <w:rsid w:val="0003175E"/>
    <w:rsid w:val="000318B7"/>
    <w:rsid w:val="00034A2A"/>
    <w:rsid w:val="00036763"/>
    <w:rsid w:val="00036C3C"/>
    <w:rsid w:val="00042AE6"/>
    <w:rsid w:val="00042FA7"/>
    <w:rsid w:val="000439B6"/>
    <w:rsid w:val="00043C68"/>
    <w:rsid w:val="00044C5C"/>
    <w:rsid w:val="00046753"/>
    <w:rsid w:val="00050F59"/>
    <w:rsid w:val="00051242"/>
    <w:rsid w:val="00051E68"/>
    <w:rsid w:val="00052A2C"/>
    <w:rsid w:val="00052E16"/>
    <w:rsid w:val="00052F47"/>
    <w:rsid w:val="000542CD"/>
    <w:rsid w:val="000543DB"/>
    <w:rsid w:val="000544DB"/>
    <w:rsid w:val="00054FE3"/>
    <w:rsid w:val="00055E08"/>
    <w:rsid w:val="00057388"/>
    <w:rsid w:val="00057D6C"/>
    <w:rsid w:val="00060827"/>
    <w:rsid w:val="0006098F"/>
    <w:rsid w:val="00061502"/>
    <w:rsid w:val="00061993"/>
    <w:rsid w:val="00064773"/>
    <w:rsid w:val="0006559F"/>
    <w:rsid w:val="000657B7"/>
    <w:rsid w:val="00065E98"/>
    <w:rsid w:val="00065FC1"/>
    <w:rsid w:val="00066148"/>
    <w:rsid w:val="0007162A"/>
    <w:rsid w:val="000724A0"/>
    <w:rsid w:val="000726E5"/>
    <w:rsid w:val="0007276A"/>
    <w:rsid w:val="00074ECC"/>
    <w:rsid w:val="000757C3"/>
    <w:rsid w:val="00076545"/>
    <w:rsid w:val="00077633"/>
    <w:rsid w:val="00081952"/>
    <w:rsid w:val="00081D33"/>
    <w:rsid w:val="000841B5"/>
    <w:rsid w:val="000904B6"/>
    <w:rsid w:val="00091DAF"/>
    <w:rsid w:val="00091E20"/>
    <w:rsid w:val="00093918"/>
    <w:rsid w:val="00094102"/>
    <w:rsid w:val="00094AA8"/>
    <w:rsid w:val="00096AB5"/>
    <w:rsid w:val="000A1887"/>
    <w:rsid w:val="000A1F0C"/>
    <w:rsid w:val="000A2254"/>
    <w:rsid w:val="000A246F"/>
    <w:rsid w:val="000A2B57"/>
    <w:rsid w:val="000A2E16"/>
    <w:rsid w:val="000A47B6"/>
    <w:rsid w:val="000A4834"/>
    <w:rsid w:val="000A52AA"/>
    <w:rsid w:val="000A5404"/>
    <w:rsid w:val="000A5C9A"/>
    <w:rsid w:val="000A5DE2"/>
    <w:rsid w:val="000A6431"/>
    <w:rsid w:val="000A646B"/>
    <w:rsid w:val="000A7762"/>
    <w:rsid w:val="000A782D"/>
    <w:rsid w:val="000B1DA2"/>
    <w:rsid w:val="000B21E3"/>
    <w:rsid w:val="000B2237"/>
    <w:rsid w:val="000B36A3"/>
    <w:rsid w:val="000B40FB"/>
    <w:rsid w:val="000B41D4"/>
    <w:rsid w:val="000B46A8"/>
    <w:rsid w:val="000B579A"/>
    <w:rsid w:val="000B7542"/>
    <w:rsid w:val="000C0486"/>
    <w:rsid w:val="000C1661"/>
    <w:rsid w:val="000C1757"/>
    <w:rsid w:val="000C1CEC"/>
    <w:rsid w:val="000C1D54"/>
    <w:rsid w:val="000C2F82"/>
    <w:rsid w:val="000C3109"/>
    <w:rsid w:val="000C49E7"/>
    <w:rsid w:val="000C75D3"/>
    <w:rsid w:val="000D1473"/>
    <w:rsid w:val="000D2182"/>
    <w:rsid w:val="000D2289"/>
    <w:rsid w:val="000D3777"/>
    <w:rsid w:val="000D4DAF"/>
    <w:rsid w:val="000D7245"/>
    <w:rsid w:val="000D7DF4"/>
    <w:rsid w:val="000E3F20"/>
    <w:rsid w:val="000E4838"/>
    <w:rsid w:val="000E5AC9"/>
    <w:rsid w:val="000E75B3"/>
    <w:rsid w:val="000E782A"/>
    <w:rsid w:val="000E7CDC"/>
    <w:rsid w:val="000F023F"/>
    <w:rsid w:val="000F0FB7"/>
    <w:rsid w:val="000F32DD"/>
    <w:rsid w:val="000F3F04"/>
    <w:rsid w:val="000F5B7C"/>
    <w:rsid w:val="000F5DA8"/>
    <w:rsid w:val="000F6142"/>
    <w:rsid w:val="000F7B79"/>
    <w:rsid w:val="001009A7"/>
    <w:rsid w:val="00100B44"/>
    <w:rsid w:val="00101B18"/>
    <w:rsid w:val="00102B18"/>
    <w:rsid w:val="00102BC1"/>
    <w:rsid w:val="0010334E"/>
    <w:rsid w:val="00103D60"/>
    <w:rsid w:val="001046DA"/>
    <w:rsid w:val="00105237"/>
    <w:rsid w:val="001056AD"/>
    <w:rsid w:val="00106756"/>
    <w:rsid w:val="00106E3E"/>
    <w:rsid w:val="00111B1D"/>
    <w:rsid w:val="00111C19"/>
    <w:rsid w:val="0011227B"/>
    <w:rsid w:val="00112A69"/>
    <w:rsid w:val="00113347"/>
    <w:rsid w:val="001140F3"/>
    <w:rsid w:val="0011456A"/>
    <w:rsid w:val="001147FB"/>
    <w:rsid w:val="00115157"/>
    <w:rsid w:val="00116A93"/>
    <w:rsid w:val="00116AE4"/>
    <w:rsid w:val="001175D6"/>
    <w:rsid w:val="001176FD"/>
    <w:rsid w:val="00117D1D"/>
    <w:rsid w:val="00120B50"/>
    <w:rsid w:val="00122251"/>
    <w:rsid w:val="001222C9"/>
    <w:rsid w:val="001230A0"/>
    <w:rsid w:val="001244DB"/>
    <w:rsid w:val="00124F98"/>
    <w:rsid w:val="00125A46"/>
    <w:rsid w:val="00131E18"/>
    <w:rsid w:val="001334E3"/>
    <w:rsid w:val="00133C5D"/>
    <w:rsid w:val="001368AA"/>
    <w:rsid w:val="00137041"/>
    <w:rsid w:val="001428D7"/>
    <w:rsid w:val="00142AB7"/>
    <w:rsid w:val="00142C00"/>
    <w:rsid w:val="00147105"/>
    <w:rsid w:val="00147EB0"/>
    <w:rsid w:val="00150DD4"/>
    <w:rsid w:val="0015281B"/>
    <w:rsid w:val="00153B0A"/>
    <w:rsid w:val="00154493"/>
    <w:rsid w:val="00156EF9"/>
    <w:rsid w:val="001576D4"/>
    <w:rsid w:val="001600C0"/>
    <w:rsid w:val="00160F7B"/>
    <w:rsid w:val="0016171A"/>
    <w:rsid w:val="00161C9F"/>
    <w:rsid w:val="00161CB1"/>
    <w:rsid w:val="00164B07"/>
    <w:rsid w:val="0016538B"/>
    <w:rsid w:val="00165801"/>
    <w:rsid w:val="00165A5C"/>
    <w:rsid w:val="001664E6"/>
    <w:rsid w:val="00166A27"/>
    <w:rsid w:val="00166FB4"/>
    <w:rsid w:val="00167BCD"/>
    <w:rsid w:val="001703FD"/>
    <w:rsid w:val="00170A59"/>
    <w:rsid w:val="00172762"/>
    <w:rsid w:val="001729EF"/>
    <w:rsid w:val="00172E38"/>
    <w:rsid w:val="00174A72"/>
    <w:rsid w:val="00174DFD"/>
    <w:rsid w:val="00175977"/>
    <w:rsid w:val="00175C07"/>
    <w:rsid w:val="00176018"/>
    <w:rsid w:val="00176CDA"/>
    <w:rsid w:val="00176F79"/>
    <w:rsid w:val="00177711"/>
    <w:rsid w:val="001825A9"/>
    <w:rsid w:val="0018353B"/>
    <w:rsid w:val="0018372F"/>
    <w:rsid w:val="001905BF"/>
    <w:rsid w:val="00191F6C"/>
    <w:rsid w:val="00192F85"/>
    <w:rsid w:val="001930C7"/>
    <w:rsid w:val="00194777"/>
    <w:rsid w:val="00197357"/>
    <w:rsid w:val="001A016B"/>
    <w:rsid w:val="001A08E5"/>
    <w:rsid w:val="001A1FEC"/>
    <w:rsid w:val="001A2294"/>
    <w:rsid w:val="001A2F97"/>
    <w:rsid w:val="001A3025"/>
    <w:rsid w:val="001A3895"/>
    <w:rsid w:val="001A3A3E"/>
    <w:rsid w:val="001A3DFF"/>
    <w:rsid w:val="001A602A"/>
    <w:rsid w:val="001A619A"/>
    <w:rsid w:val="001A6554"/>
    <w:rsid w:val="001A7222"/>
    <w:rsid w:val="001B20FF"/>
    <w:rsid w:val="001B2C80"/>
    <w:rsid w:val="001B3B86"/>
    <w:rsid w:val="001B479F"/>
    <w:rsid w:val="001B55FE"/>
    <w:rsid w:val="001B6C06"/>
    <w:rsid w:val="001C0359"/>
    <w:rsid w:val="001C11B0"/>
    <w:rsid w:val="001C1710"/>
    <w:rsid w:val="001C2427"/>
    <w:rsid w:val="001C39D9"/>
    <w:rsid w:val="001C501B"/>
    <w:rsid w:val="001C5DDF"/>
    <w:rsid w:val="001D10A7"/>
    <w:rsid w:val="001D158D"/>
    <w:rsid w:val="001D1727"/>
    <w:rsid w:val="001D17BA"/>
    <w:rsid w:val="001D1897"/>
    <w:rsid w:val="001D24D0"/>
    <w:rsid w:val="001D36D0"/>
    <w:rsid w:val="001D4216"/>
    <w:rsid w:val="001D47FE"/>
    <w:rsid w:val="001D4F71"/>
    <w:rsid w:val="001D5111"/>
    <w:rsid w:val="001D59C1"/>
    <w:rsid w:val="001E02E7"/>
    <w:rsid w:val="001E09C2"/>
    <w:rsid w:val="001E0CE5"/>
    <w:rsid w:val="001E2DA9"/>
    <w:rsid w:val="001E342B"/>
    <w:rsid w:val="001E39F1"/>
    <w:rsid w:val="001E3F4B"/>
    <w:rsid w:val="001E6B97"/>
    <w:rsid w:val="001E6DDC"/>
    <w:rsid w:val="001E7835"/>
    <w:rsid w:val="001F054F"/>
    <w:rsid w:val="001F0F05"/>
    <w:rsid w:val="001F1682"/>
    <w:rsid w:val="001F1DB9"/>
    <w:rsid w:val="001F6DD3"/>
    <w:rsid w:val="002001CB"/>
    <w:rsid w:val="00201F65"/>
    <w:rsid w:val="002022B7"/>
    <w:rsid w:val="00202907"/>
    <w:rsid w:val="00202E08"/>
    <w:rsid w:val="00203AF4"/>
    <w:rsid w:val="00204653"/>
    <w:rsid w:val="00205D54"/>
    <w:rsid w:val="002065CC"/>
    <w:rsid w:val="00206E93"/>
    <w:rsid w:val="00206F95"/>
    <w:rsid w:val="00207F5E"/>
    <w:rsid w:val="00212D35"/>
    <w:rsid w:val="00212EC7"/>
    <w:rsid w:val="002145B2"/>
    <w:rsid w:val="00216F7D"/>
    <w:rsid w:val="00220D84"/>
    <w:rsid w:val="00222843"/>
    <w:rsid w:val="00222CC7"/>
    <w:rsid w:val="00223A14"/>
    <w:rsid w:val="00226E2B"/>
    <w:rsid w:val="00227191"/>
    <w:rsid w:val="00227969"/>
    <w:rsid w:val="00230E24"/>
    <w:rsid w:val="00231AC4"/>
    <w:rsid w:val="00232BCF"/>
    <w:rsid w:val="002330E3"/>
    <w:rsid w:val="002334F4"/>
    <w:rsid w:val="002338C1"/>
    <w:rsid w:val="00233FD4"/>
    <w:rsid w:val="00235229"/>
    <w:rsid w:val="0023751E"/>
    <w:rsid w:val="002377A0"/>
    <w:rsid w:val="002402B1"/>
    <w:rsid w:val="002408A3"/>
    <w:rsid w:val="00241D30"/>
    <w:rsid w:val="00242361"/>
    <w:rsid w:val="002449AE"/>
    <w:rsid w:val="00250242"/>
    <w:rsid w:val="00251524"/>
    <w:rsid w:val="0025238F"/>
    <w:rsid w:val="00253829"/>
    <w:rsid w:val="00253E04"/>
    <w:rsid w:val="00253EFF"/>
    <w:rsid w:val="00257590"/>
    <w:rsid w:val="0026086D"/>
    <w:rsid w:val="00260E06"/>
    <w:rsid w:val="00261838"/>
    <w:rsid w:val="00261B97"/>
    <w:rsid w:val="00262433"/>
    <w:rsid w:val="00262A46"/>
    <w:rsid w:val="00263207"/>
    <w:rsid w:val="0026402C"/>
    <w:rsid w:val="00265121"/>
    <w:rsid w:val="00266FF5"/>
    <w:rsid w:val="002677D4"/>
    <w:rsid w:val="0027092E"/>
    <w:rsid w:val="002710C8"/>
    <w:rsid w:val="00271B3A"/>
    <w:rsid w:val="00271FCD"/>
    <w:rsid w:val="0027208C"/>
    <w:rsid w:val="00273E25"/>
    <w:rsid w:val="002747E5"/>
    <w:rsid w:val="00275006"/>
    <w:rsid w:val="002762DB"/>
    <w:rsid w:val="00276305"/>
    <w:rsid w:val="00276A7F"/>
    <w:rsid w:val="00276B54"/>
    <w:rsid w:val="002775F0"/>
    <w:rsid w:val="00277F2D"/>
    <w:rsid w:val="002804AA"/>
    <w:rsid w:val="00280FDC"/>
    <w:rsid w:val="0028137F"/>
    <w:rsid w:val="002815F3"/>
    <w:rsid w:val="00281B81"/>
    <w:rsid w:val="00282A8A"/>
    <w:rsid w:val="00282D1E"/>
    <w:rsid w:val="0028318B"/>
    <w:rsid w:val="0028505D"/>
    <w:rsid w:val="00285A53"/>
    <w:rsid w:val="0028607E"/>
    <w:rsid w:val="002874D2"/>
    <w:rsid w:val="00287844"/>
    <w:rsid w:val="00287D72"/>
    <w:rsid w:val="00290243"/>
    <w:rsid w:val="002915DB"/>
    <w:rsid w:val="002925FC"/>
    <w:rsid w:val="00295434"/>
    <w:rsid w:val="00295509"/>
    <w:rsid w:val="0029640C"/>
    <w:rsid w:val="00297B90"/>
    <w:rsid w:val="002A2DB5"/>
    <w:rsid w:val="002A35A0"/>
    <w:rsid w:val="002A65A8"/>
    <w:rsid w:val="002A65FB"/>
    <w:rsid w:val="002A7A5E"/>
    <w:rsid w:val="002B04D4"/>
    <w:rsid w:val="002B0EC1"/>
    <w:rsid w:val="002B0F6C"/>
    <w:rsid w:val="002B2A6F"/>
    <w:rsid w:val="002B3171"/>
    <w:rsid w:val="002B3777"/>
    <w:rsid w:val="002B3836"/>
    <w:rsid w:val="002B3B3F"/>
    <w:rsid w:val="002B466F"/>
    <w:rsid w:val="002B4BA7"/>
    <w:rsid w:val="002B5677"/>
    <w:rsid w:val="002B78D5"/>
    <w:rsid w:val="002C06F5"/>
    <w:rsid w:val="002C113A"/>
    <w:rsid w:val="002C1CBD"/>
    <w:rsid w:val="002C1F31"/>
    <w:rsid w:val="002C2821"/>
    <w:rsid w:val="002C2F36"/>
    <w:rsid w:val="002C3876"/>
    <w:rsid w:val="002C3926"/>
    <w:rsid w:val="002C4927"/>
    <w:rsid w:val="002C4C0E"/>
    <w:rsid w:val="002C54DC"/>
    <w:rsid w:val="002C5E67"/>
    <w:rsid w:val="002C61CD"/>
    <w:rsid w:val="002C6963"/>
    <w:rsid w:val="002C6B04"/>
    <w:rsid w:val="002C7C78"/>
    <w:rsid w:val="002D0539"/>
    <w:rsid w:val="002D1B51"/>
    <w:rsid w:val="002D1D52"/>
    <w:rsid w:val="002D207A"/>
    <w:rsid w:val="002D287C"/>
    <w:rsid w:val="002D4C8D"/>
    <w:rsid w:val="002D6124"/>
    <w:rsid w:val="002D736F"/>
    <w:rsid w:val="002E0B14"/>
    <w:rsid w:val="002E1955"/>
    <w:rsid w:val="002E344A"/>
    <w:rsid w:val="002E396C"/>
    <w:rsid w:val="002E3A40"/>
    <w:rsid w:val="002E4F1B"/>
    <w:rsid w:val="002E6430"/>
    <w:rsid w:val="002E6C4B"/>
    <w:rsid w:val="002E7065"/>
    <w:rsid w:val="002E729B"/>
    <w:rsid w:val="002E775B"/>
    <w:rsid w:val="002F17E4"/>
    <w:rsid w:val="002F1CB3"/>
    <w:rsid w:val="002F20A9"/>
    <w:rsid w:val="002F5FEB"/>
    <w:rsid w:val="003009E3"/>
    <w:rsid w:val="00301932"/>
    <w:rsid w:val="00303028"/>
    <w:rsid w:val="00303C72"/>
    <w:rsid w:val="00305809"/>
    <w:rsid w:val="003063F7"/>
    <w:rsid w:val="003105F6"/>
    <w:rsid w:val="00311694"/>
    <w:rsid w:val="00311907"/>
    <w:rsid w:val="003120E5"/>
    <w:rsid w:val="00312B65"/>
    <w:rsid w:val="00312C97"/>
    <w:rsid w:val="003154BD"/>
    <w:rsid w:val="003156F9"/>
    <w:rsid w:val="00315BC6"/>
    <w:rsid w:val="0031619E"/>
    <w:rsid w:val="00316596"/>
    <w:rsid w:val="00316834"/>
    <w:rsid w:val="00317359"/>
    <w:rsid w:val="003212E3"/>
    <w:rsid w:val="00321EB8"/>
    <w:rsid w:val="00323ECF"/>
    <w:rsid w:val="00324BDD"/>
    <w:rsid w:val="003262B6"/>
    <w:rsid w:val="0033026A"/>
    <w:rsid w:val="00330CFD"/>
    <w:rsid w:val="003346C4"/>
    <w:rsid w:val="0033482A"/>
    <w:rsid w:val="00335B20"/>
    <w:rsid w:val="00335FC7"/>
    <w:rsid w:val="00336D5D"/>
    <w:rsid w:val="00340064"/>
    <w:rsid w:val="0034191A"/>
    <w:rsid w:val="0034196B"/>
    <w:rsid w:val="00341CFD"/>
    <w:rsid w:val="003422C9"/>
    <w:rsid w:val="00343A8D"/>
    <w:rsid w:val="00343E77"/>
    <w:rsid w:val="0034427D"/>
    <w:rsid w:val="003451EB"/>
    <w:rsid w:val="00345408"/>
    <w:rsid w:val="00346F13"/>
    <w:rsid w:val="003477AB"/>
    <w:rsid w:val="00347EC8"/>
    <w:rsid w:val="00347ECB"/>
    <w:rsid w:val="0035051A"/>
    <w:rsid w:val="003523A8"/>
    <w:rsid w:val="003530FD"/>
    <w:rsid w:val="0035352E"/>
    <w:rsid w:val="00353BB4"/>
    <w:rsid w:val="0035485C"/>
    <w:rsid w:val="0036095F"/>
    <w:rsid w:val="00361DA3"/>
    <w:rsid w:val="00362615"/>
    <w:rsid w:val="00362F7B"/>
    <w:rsid w:val="003647D3"/>
    <w:rsid w:val="0036518A"/>
    <w:rsid w:val="0036583E"/>
    <w:rsid w:val="00366814"/>
    <w:rsid w:val="00366EC0"/>
    <w:rsid w:val="00372D70"/>
    <w:rsid w:val="00373FD9"/>
    <w:rsid w:val="00374A70"/>
    <w:rsid w:val="00377982"/>
    <w:rsid w:val="0038161F"/>
    <w:rsid w:val="00382242"/>
    <w:rsid w:val="003836AD"/>
    <w:rsid w:val="00383819"/>
    <w:rsid w:val="0038542D"/>
    <w:rsid w:val="0038712F"/>
    <w:rsid w:val="0039122D"/>
    <w:rsid w:val="00395254"/>
    <w:rsid w:val="0039584D"/>
    <w:rsid w:val="00395FCA"/>
    <w:rsid w:val="00396290"/>
    <w:rsid w:val="00397019"/>
    <w:rsid w:val="003A0C49"/>
    <w:rsid w:val="003A170B"/>
    <w:rsid w:val="003A274D"/>
    <w:rsid w:val="003A2C49"/>
    <w:rsid w:val="003A5085"/>
    <w:rsid w:val="003A61D2"/>
    <w:rsid w:val="003A6A05"/>
    <w:rsid w:val="003A6F0B"/>
    <w:rsid w:val="003A7D39"/>
    <w:rsid w:val="003B0A85"/>
    <w:rsid w:val="003B1533"/>
    <w:rsid w:val="003B1E8C"/>
    <w:rsid w:val="003B3B81"/>
    <w:rsid w:val="003B4838"/>
    <w:rsid w:val="003B559E"/>
    <w:rsid w:val="003B7203"/>
    <w:rsid w:val="003B730E"/>
    <w:rsid w:val="003B7C06"/>
    <w:rsid w:val="003C08EE"/>
    <w:rsid w:val="003C22B4"/>
    <w:rsid w:val="003C2681"/>
    <w:rsid w:val="003C2D0E"/>
    <w:rsid w:val="003C46D4"/>
    <w:rsid w:val="003C63EB"/>
    <w:rsid w:val="003C64AC"/>
    <w:rsid w:val="003C715C"/>
    <w:rsid w:val="003C7F82"/>
    <w:rsid w:val="003D0407"/>
    <w:rsid w:val="003D0595"/>
    <w:rsid w:val="003D0D59"/>
    <w:rsid w:val="003D29D7"/>
    <w:rsid w:val="003D395F"/>
    <w:rsid w:val="003D6087"/>
    <w:rsid w:val="003D6DBC"/>
    <w:rsid w:val="003E1915"/>
    <w:rsid w:val="003E2E81"/>
    <w:rsid w:val="003E2EBC"/>
    <w:rsid w:val="003E31F9"/>
    <w:rsid w:val="003E4011"/>
    <w:rsid w:val="003E4386"/>
    <w:rsid w:val="003E6C00"/>
    <w:rsid w:val="003F0631"/>
    <w:rsid w:val="003F0ED4"/>
    <w:rsid w:val="003F30BB"/>
    <w:rsid w:val="003F32A2"/>
    <w:rsid w:val="003F4A8F"/>
    <w:rsid w:val="003F62D7"/>
    <w:rsid w:val="003F6972"/>
    <w:rsid w:val="003F69B1"/>
    <w:rsid w:val="004004E9"/>
    <w:rsid w:val="00402309"/>
    <w:rsid w:val="00403273"/>
    <w:rsid w:val="00403EC2"/>
    <w:rsid w:val="0040446A"/>
    <w:rsid w:val="00406876"/>
    <w:rsid w:val="00406A11"/>
    <w:rsid w:val="00406C59"/>
    <w:rsid w:val="00406E49"/>
    <w:rsid w:val="00410CA1"/>
    <w:rsid w:val="00411527"/>
    <w:rsid w:val="00411879"/>
    <w:rsid w:val="00411B42"/>
    <w:rsid w:val="00415015"/>
    <w:rsid w:val="004150FF"/>
    <w:rsid w:val="0041709B"/>
    <w:rsid w:val="004209C2"/>
    <w:rsid w:val="00420DA5"/>
    <w:rsid w:val="004211AC"/>
    <w:rsid w:val="0042127F"/>
    <w:rsid w:val="00421708"/>
    <w:rsid w:val="00422626"/>
    <w:rsid w:val="004228E9"/>
    <w:rsid w:val="00423C2F"/>
    <w:rsid w:val="00423D5D"/>
    <w:rsid w:val="00424D77"/>
    <w:rsid w:val="00424E7E"/>
    <w:rsid w:val="0042536F"/>
    <w:rsid w:val="00425EA9"/>
    <w:rsid w:val="00426170"/>
    <w:rsid w:val="0042681A"/>
    <w:rsid w:val="00427264"/>
    <w:rsid w:val="00427929"/>
    <w:rsid w:val="00430978"/>
    <w:rsid w:val="00430DD0"/>
    <w:rsid w:val="00432291"/>
    <w:rsid w:val="00432604"/>
    <w:rsid w:val="00432931"/>
    <w:rsid w:val="0043341B"/>
    <w:rsid w:val="004347B2"/>
    <w:rsid w:val="00435E8C"/>
    <w:rsid w:val="00436FB2"/>
    <w:rsid w:val="00437445"/>
    <w:rsid w:val="00440E0C"/>
    <w:rsid w:val="00441A6C"/>
    <w:rsid w:val="004429FD"/>
    <w:rsid w:val="00445017"/>
    <w:rsid w:val="00445049"/>
    <w:rsid w:val="00446B46"/>
    <w:rsid w:val="00450613"/>
    <w:rsid w:val="004533DA"/>
    <w:rsid w:val="00453937"/>
    <w:rsid w:val="00453EBE"/>
    <w:rsid w:val="00455BA8"/>
    <w:rsid w:val="00456568"/>
    <w:rsid w:val="004572E3"/>
    <w:rsid w:val="00460501"/>
    <w:rsid w:val="0046289B"/>
    <w:rsid w:val="00463A4D"/>
    <w:rsid w:val="00464983"/>
    <w:rsid w:val="00464AD5"/>
    <w:rsid w:val="00465327"/>
    <w:rsid w:val="004657C1"/>
    <w:rsid w:val="00465C82"/>
    <w:rsid w:val="00465E5B"/>
    <w:rsid w:val="00466245"/>
    <w:rsid w:val="00467D1A"/>
    <w:rsid w:val="00471A95"/>
    <w:rsid w:val="00471E8E"/>
    <w:rsid w:val="00472571"/>
    <w:rsid w:val="004751B9"/>
    <w:rsid w:val="00475B2B"/>
    <w:rsid w:val="00475B55"/>
    <w:rsid w:val="004773D7"/>
    <w:rsid w:val="00477D04"/>
    <w:rsid w:val="0048022F"/>
    <w:rsid w:val="004819ED"/>
    <w:rsid w:val="00481A33"/>
    <w:rsid w:val="00481B34"/>
    <w:rsid w:val="004828C1"/>
    <w:rsid w:val="00483C9F"/>
    <w:rsid w:val="0048478E"/>
    <w:rsid w:val="00484819"/>
    <w:rsid w:val="00484B5A"/>
    <w:rsid w:val="00484F86"/>
    <w:rsid w:val="004858F5"/>
    <w:rsid w:val="0048719A"/>
    <w:rsid w:val="00490E8B"/>
    <w:rsid w:val="004923DE"/>
    <w:rsid w:val="0049445B"/>
    <w:rsid w:val="00494C44"/>
    <w:rsid w:val="00494D8E"/>
    <w:rsid w:val="004963BB"/>
    <w:rsid w:val="00497153"/>
    <w:rsid w:val="004A00BF"/>
    <w:rsid w:val="004A10D9"/>
    <w:rsid w:val="004A2C50"/>
    <w:rsid w:val="004A3B38"/>
    <w:rsid w:val="004A4276"/>
    <w:rsid w:val="004A4574"/>
    <w:rsid w:val="004A4787"/>
    <w:rsid w:val="004A561F"/>
    <w:rsid w:val="004A5F77"/>
    <w:rsid w:val="004B03A7"/>
    <w:rsid w:val="004B06AF"/>
    <w:rsid w:val="004B1D20"/>
    <w:rsid w:val="004B23CD"/>
    <w:rsid w:val="004B3421"/>
    <w:rsid w:val="004B3BD1"/>
    <w:rsid w:val="004B4C59"/>
    <w:rsid w:val="004B5C91"/>
    <w:rsid w:val="004B61DE"/>
    <w:rsid w:val="004B7878"/>
    <w:rsid w:val="004C0BCB"/>
    <w:rsid w:val="004C175F"/>
    <w:rsid w:val="004C1F8D"/>
    <w:rsid w:val="004C4B34"/>
    <w:rsid w:val="004C4D43"/>
    <w:rsid w:val="004C684F"/>
    <w:rsid w:val="004C7046"/>
    <w:rsid w:val="004C709B"/>
    <w:rsid w:val="004C756B"/>
    <w:rsid w:val="004C7972"/>
    <w:rsid w:val="004D0115"/>
    <w:rsid w:val="004D20CA"/>
    <w:rsid w:val="004D280F"/>
    <w:rsid w:val="004D2F35"/>
    <w:rsid w:val="004D3567"/>
    <w:rsid w:val="004D3D20"/>
    <w:rsid w:val="004D4E36"/>
    <w:rsid w:val="004D6AB1"/>
    <w:rsid w:val="004D7068"/>
    <w:rsid w:val="004D751F"/>
    <w:rsid w:val="004D76BF"/>
    <w:rsid w:val="004D7ABF"/>
    <w:rsid w:val="004E05DA"/>
    <w:rsid w:val="004E2168"/>
    <w:rsid w:val="004E2466"/>
    <w:rsid w:val="004E2B29"/>
    <w:rsid w:val="004E4907"/>
    <w:rsid w:val="004E52B0"/>
    <w:rsid w:val="004E63EF"/>
    <w:rsid w:val="004E6CB2"/>
    <w:rsid w:val="004E6D0C"/>
    <w:rsid w:val="004E7A9F"/>
    <w:rsid w:val="004F108F"/>
    <w:rsid w:val="004F117A"/>
    <w:rsid w:val="004F1C62"/>
    <w:rsid w:val="004F23B8"/>
    <w:rsid w:val="004F3FFF"/>
    <w:rsid w:val="004F4575"/>
    <w:rsid w:val="004F4C20"/>
    <w:rsid w:val="004F740C"/>
    <w:rsid w:val="004F769A"/>
    <w:rsid w:val="004F7BA1"/>
    <w:rsid w:val="005005AF"/>
    <w:rsid w:val="00500F16"/>
    <w:rsid w:val="005013F9"/>
    <w:rsid w:val="0050231C"/>
    <w:rsid w:val="00504576"/>
    <w:rsid w:val="005045D6"/>
    <w:rsid w:val="005051AF"/>
    <w:rsid w:val="0050543A"/>
    <w:rsid w:val="005054EE"/>
    <w:rsid w:val="0050558F"/>
    <w:rsid w:val="005057F7"/>
    <w:rsid w:val="00505925"/>
    <w:rsid w:val="00506660"/>
    <w:rsid w:val="00506D4C"/>
    <w:rsid w:val="00507395"/>
    <w:rsid w:val="00510D34"/>
    <w:rsid w:val="00511578"/>
    <w:rsid w:val="005119E9"/>
    <w:rsid w:val="00511B6E"/>
    <w:rsid w:val="00511CBE"/>
    <w:rsid w:val="00512290"/>
    <w:rsid w:val="00512B3A"/>
    <w:rsid w:val="00514216"/>
    <w:rsid w:val="005157F3"/>
    <w:rsid w:val="005158FC"/>
    <w:rsid w:val="00515EF3"/>
    <w:rsid w:val="0051792D"/>
    <w:rsid w:val="0052014D"/>
    <w:rsid w:val="005202DB"/>
    <w:rsid w:val="00520EC6"/>
    <w:rsid w:val="00521AF9"/>
    <w:rsid w:val="00521CA3"/>
    <w:rsid w:val="00522911"/>
    <w:rsid w:val="00522D23"/>
    <w:rsid w:val="00522D8C"/>
    <w:rsid w:val="005231EC"/>
    <w:rsid w:val="0052360C"/>
    <w:rsid w:val="005249F9"/>
    <w:rsid w:val="00524CF9"/>
    <w:rsid w:val="0052528E"/>
    <w:rsid w:val="005255B8"/>
    <w:rsid w:val="005305BC"/>
    <w:rsid w:val="00530BBB"/>
    <w:rsid w:val="005315D4"/>
    <w:rsid w:val="00533B6E"/>
    <w:rsid w:val="00533CBF"/>
    <w:rsid w:val="00535C77"/>
    <w:rsid w:val="00535EEB"/>
    <w:rsid w:val="005362DA"/>
    <w:rsid w:val="0053687C"/>
    <w:rsid w:val="005376B5"/>
    <w:rsid w:val="00537E6F"/>
    <w:rsid w:val="00540586"/>
    <w:rsid w:val="005411A2"/>
    <w:rsid w:val="00542FC8"/>
    <w:rsid w:val="005449D6"/>
    <w:rsid w:val="00546766"/>
    <w:rsid w:val="0054779C"/>
    <w:rsid w:val="00551540"/>
    <w:rsid w:val="0055345C"/>
    <w:rsid w:val="00554F79"/>
    <w:rsid w:val="00560064"/>
    <w:rsid w:val="005600AB"/>
    <w:rsid w:val="00563326"/>
    <w:rsid w:val="00565287"/>
    <w:rsid w:val="0056637E"/>
    <w:rsid w:val="0056686B"/>
    <w:rsid w:val="00567663"/>
    <w:rsid w:val="00567729"/>
    <w:rsid w:val="00567BFD"/>
    <w:rsid w:val="005720C8"/>
    <w:rsid w:val="005735F1"/>
    <w:rsid w:val="00575650"/>
    <w:rsid w:val="0057605F"/>
    <w:rsid w:val="00576F8D"/>
    <w:rsid w:val="00577350"/>
    <w:rsid w:val="00577D76"/>
    <w:rsid w:val="00581CD4"/>
    <w:rsid w:val="00582A7B"/>
    <w:rsid w:val="005835D6"/>
    <w:rsid w:val="00583998"/>
    <w:rsid w:val="005842D9"/>
    <w:rsid w:val="00584A2D"/>
    <w:rsid w:val="00586242"/>
    <w:rsid w:val="00586B37"/>
    <w:rsid w:val="00586CD2"/>
    <w:rsid w:val="00591FC1"/>
    <w:rsid w:val="00592E01"/>
    <w:rsid w:val="005934BE"/>
    <w:rsid w:val="005938B1"/>
    <w:rsid w:val="00594A1A"/>
    <w:rsid w:val="00595FAA"/>
    <w:rsid w:val="00596A43"/>
    <w:rsid w:val="00597E77"/>
    <w:rsid w:val="005A0777"/>
    <w:rsid w:val="005A29BA"/>
    <w:rsid w:val="005A47E9"/>
    <w:rsid w:val="005A55BA"/>
    <w:rsid w:val="005A56AE"/>
    <w:rsid w:val="005A62F3"/>
    <w:rsid w:val="005A6B09"/>
    <w:rsid w:val="005A6C38"/>
    <w:rsid w:val="005A6FE5"/>
    <w:rsid w:val="005B0CDF"/>
    <w:rsid w:val="005B140B"/>
    <w:rsid w:val="005B14BF"/>
    <w:rsid w:val="005B1EED"/>
    <w:rsid w:val="005B3291"/>
    <w:rsid w:val="005B3D05"/>
    <w:rsid w:val="005B5671"/>
    <w:rsid w:val="005B585A"/>
    <w:rsid w:val="005B5887"/>
    <w:rsid w:val="005B6A44"/>
    <w:rsid w:val="005B6C92"/>
    <w:rsid w:val="005B7116"/>
    <w:rsid w:val="005C0947"/>
    <w:rsid w:val="005C1BC0"/>
    <w:rsid w:val="005C1C84"/>
    <w:rsid w:val="005C38AA"/>
    <w:rsid w:val="005C5741"/>
    <w:rsid w:val="005C5F36"/>
    <w:rsid w:val="005C5FFD"/>
    <w:rsid w:val="005D17C1"/>
    <w:rsid w:val="005D1C20"/>
    <w:rsid w:val="005D2AAB"/>
    <w:rsid w:val="005D4B86"/>
    <w:rsid w:val="005D53E3"/>
    <w:rsid w:val="005D5E48"/>
    <w:rsid w:val="005D65F6"/>
    <w:rsid w:val="005D7184"/>
    <w:rsid w:val="005E1A8F"/>
    <w:rsid w:val="005E2780"/>
    <w:rsid w:val="005E2BCA"/>
    <w:rsid w:val="005E4178"/>
    <w:rsid w:val="005E5024"/>
    <w:rsid w:val="005E5312"/>
    <w:rsid w:val="005E707E"/>
    <w:rsid w:val="005F1335"/>
    <w:rsid w:val="005F348D"/>
    <w:rsid w:val="005F461C"/>
    <w:rsid w:val="005F6392"/>
    <w:rsid w:val="005F7656"/>
    <w:rsid w:val="005F7E82"/>
    <w:rsid w:val="00600949"/>
    <w:rsid w:val="00600FD5"/>
    <w:rsid w:val="006012FF"/>
    <w:rsid w:val="0060169B"/>
    <w:rsid w:val="00601E0F"/>
    <w:rsid w:val="00603B8C"/>
    <w:rsid w:val="00603FE4"/>
    <w:rsid w:val="00605638"/>
    <w:rsid w:val="00606292"/>
    <w:rsid w:val="00606872"/>
    <w:rsid w:val="00606F25"/>
    <w:rsid w:val="0061076A"/>
    <w:rsid w:val="00610839"/>
    <w:rsid w:val="006109F4"/>
    <w:rsid w:val="006128B4"/>
    <w:rsid w:val="00612B07"/>
    <w:rsid w:val="00612E18"/>
    <w:rsid w:val="0061417D"/>
    <w:rsid w:val="00616009"/>
    <w:rsid w:val="006165AC"/>
    <w:rsid w:val="006205CA"/>
    <w:rsid w:val="006219E9"/>
    <w:rsid w:val="006229E7"/>
    <w:rsid w:val="00622C46"/>
    <w:rsid w:val="006237E7"/>
    <w:rsid w:val="00624605"/>
    <w:rsid w:val="0062559F"/>
    <w:rsid w:val="00630226"/>
    <w:rsid w:val="006319C6"/>
    <w:rsid w:val="00632A8C"/>
    <w:rsid w:val="00632FDC"/>
    <w:rsid w:val="00633792"/>
    <w:rsid w:val="00633E73"/>
    <w:rsid w:val="00635246"/>
    <w:rsid w:val="00640033"/>
    <w:rsid w:val="00641E10"/>
    <w:rsid w:val="0064239C"/>
    <w:rsid w:val="00642C53"/>
    <w:rsid w:val="00644D0D"/>
    <w:rsid w:val="00645215"/>
    <w:rsid w:val="006476A4"/>
    <w:rsid w:val="0064778E"/>
    <w:rsid w:val="00647E96"/>
    <w:rsid w:val="00653197"/>
    <w:rsid w:val="006568AD"/>
    <w:rsid w:val="00656D19"/>
    <w:rsid w:val="00662C71"/>
    <w:rsid w:val="00663935"/>
    <w:rsid w:val="0066402C"/>
    <w:rsid w:val="0066644A"/>
    <w:rsid w:val="00667C5C"/>
    <w:rsid w:val="00670353"/>
    <w:rsid w:val="00671C11"/>
    <w:rsid w:val="00673632"/>
    <w:rsid w:val="006738C0"/>
    <w:rsid w:val="00674CAE"/>
    <w:rsid w:val="00680508"/>
    <w:rsid w:val="0068380C"/>
    <w:rsid w:val="006852C8"/>
    <w:rsid w:val="006853EA"/>
    <w:rsid w:val="006859D6"/>
    <w:rsid w:val="006870BB"/>
    <w:rsid w:val="00690AB4"/>
    <w:rsid w:val="0069113D"/>
    <w:rsid w:val="00692507"/>
    <w:rsid w:val="0069700E"/>
    <w:rsid w:val="00697021"/>
    <w:rsid w:val="00697535"/>
    <w:rsid w:val="0069780B"/>
    <w:rsid w:val="00697A3B"/>
    <w:rsid w:val="006A0140"/>
    <w:rsid w:val="006A03CE"/>
    <w:rsid w:val="006A0649"/>
    <w:rsid w:val="006A09B9"/>
    <w:rsid w:val="006A2816"/>
    <w:rsid w:val="006A2B2B"/>
    <w:rsid w:val="006A4D76"/>
    <w:rsid w:val="006A4E0E"/>
    <w:rsid w:val="006A5903"/>
    <w:rsid w:val="006A5BD0"/>
    <w:rsid w:val="006A6BB1"/>
    <w:rsid w:val="006A77B9"/>
    <w:rsid w:val="006A7FC4"/>
    <w:rsid w:val="006B2657"/>
    <w:rsid w:val="006B2E6F"/>
    <w:rsid w:val="006B3092"/>
    <w:rsid w:val="006B548E"/>
    <w:rsid w:val="006B550F"/>
    <w:rsid w:val="006B662D"/>
    <w:rsid w:val="006C1D6F"/>
    <w:rsid w:val="006C289E"/>
    <w:rsid w:val="006C3238"/>
    <w:rsid w:val="006C3B2B"/>
    <w:rsid w:val="006C3EF4"/>
    <w:rsid w:val="006C451F"/>
    <w:rsid w:val="006C4DEC"/>
    <w:rsid w:val="006C6154"/>
    <w:rsid w:val="006C6F23"/>
    <w:rsid w:val="006C780B"/>
    <w:rsid w:val="006D2932"/>
    <w:rsid w:val="006D48B8"/>
    <w:rsid w:val="006D5A5F"/>
    <w:rsid w:val="006D66ED"/>
    <w:rsid w:val="006D7402"/>
    <w:rsid w:val="006D7445"/>
    <w:rsid w:val="006E1098"/>
    <w:rsid w:val="006E199E"/>
    <w:rsid w:val="006E347D"/>
    <w:rsid w:val="006E3628"/>
    <w:rsid w:val="006E4589"/>
    <w:rsid w:val="006E57A3"/>
    <w:rsid w:val="006E6297"/>
    <w:rsid w:val="006E79F2"/>
    <w:rsid w:val="006F0D00"/>
    <w:rsid w:val="006F0D6A"/>
    <w:rsid w:val="006F3A49"/>
    <w:rsid w:val="006F3C9D"/>
    <w:rsid w:val="006F4529"/>
    <w:rsid w:val="006F495E"/>
    <w:rsid w:val="006F6505"/>
    <w:rsid w:val="006F65C8"/>
    <w:rsid w:val="00700D6B"/>
    <w:rsid w:val="00703B6A"/>
    <w:rsid w:val="007057D0"/>
    <w:rsid w:val="00705891"/>
    <w:rsid w:val="0070604A"/>
    <w:rsid w:val="00706654"/>
    <w:rsid w:val="0070696D"/>
    <w:rsid w:val="00707A78"/>
    <w:rsid w:val="00707E55"/>
    <w:rsid w:val="0071030D"/>
    <w:rsid w:val="00710542"/>
    <w:rsid w:val="007108DB"/>
    <w:rsid w:val="007119AD"/>
    <w:rsid w:val="00713E19"/>
    <w:rsid w:val="00714525"/>
    <w:rsid w:val="00714774"/>
    <w:rsid w:val="00714CC6"/>
    <w:rsid w:val="0071528F"/>
    <w:rsid w:val="007159A7"/>
    <w:rsid w:val="007200F0"/>
    <w:rsid w:val="00720562"/>
    <w:rsid w:val="00720915"/>
    <w:rsid w:val="00721934"/>
    <w:rsid w:val="00723045"/>
    <w:rsid w:val="0072307A"/>
    <w:rsid w:val="0072334D"/>
    <w:rsid w:val="00723FF7"/>
    <w:rsid w:val="00725D82"/>
    <w:rsid w:val="00726904"/>
    <w:rsid w:val="00727EDB"/>
    <w:rsid w:val="00732BF5"/>
    <w:rsid w:val="007354A0"/>
    <w:rsid w:val="007367FC"/>
    <w:rsid w:val="007368C3"/>
    <w:rsid w:val="00736FB1"/>
    <w:rsid w:val="0074133E"/>
    <w:rsid w:val="0074177F"/>
    <w:rsid w:val="00741C4C"/>
    <w:rsid w:val="00743572"/>
    <w:rsid w:val="007444F7"/>
    <w:rsid w:val="0074676E"/>
    <w:rsid w:val="00747155"/>
    <w:rsid w:val="00750C17"/>
    <w:rsid w:val="0075157D"/>
    <w:rsid w:val="007536BF"/>
    <w:rsid w:val="00754557"/>
    <w:rsid w:val="00755C1B"/>
    <w:rsid w:val="00755EC0"/>
    <w:rsid w:val="007564C8"/>
    <w:rsid w:val="007612D0"/>
    <w:rsid w:val="0076191A"/>
    <w:rsid w:val="00761AAA"/>
    <w:rsid w:val="00761DB6"/>
    <w:rsid w:val="00762F38"/>
    <w:rsid w:val="007638D7"/>
    <w:rsid w:val="00763AB6"/>
    <w:rsid w:val="007643A9"/>
    <w:rsid w:val="00764765"/>
    <w:rsid w:val="0076529E"/>
    <w:rsid w:val="007654FC"/>
    <w:rsid w:val="007656BE"/>
    <w:rsid w:val="00765BC8"/>
    <w:rsid w:val="0076694D"/>
    <w:rsid w:val="00766EE0"/>
    <w:rsid w:val="00770655"/>
    <w:rsid w:val="0077083E"/>
    <w:rsid w:val="00771775"/>
    <w:rsid w:val="007729A2"/>
    <w:rsid w:val="00772AB2"/>
    <w:rsid w:val="00773509"/>
    <w:rsid w:val="00774073"/>
    <w:rsid w:val="00774396"/>
    <w:rsid w:val="00776A1B"/>
    <w:rsid w:val="00781E0F"/>
    <w:rsid w:val="00782B76"/>
    <w:rsid w:val="00783B1A"/>
    <w:rsid w:val="00784531"/>
    <w:rsid w:val="0078635E"/>
    <w:rsid w:val="00787047"/>
    <w:rsid w:val="007877C3"/>
    <w:rsid w:val="0079024B"/>
    <w:rsid w:val="00791D46"/>
    <w:rsid w:val="00791D7F"/>
    <w:rsid w:val="00791FDA"/>
    <w:rsid w:val="00792380"/>
    <w:rsid w:val="007923C2"/>
    <w:rsid w:val="007943EA"/>
    <w:rsid w:val="00794AF6"/>
    <w:rsid w:val="0079501D"/>
    <w:rsid w:val="00795D77"/>
    <w:rsid w:val="00795F8A"/>
    <w:rsid w:val="0079632F"/>
    <w:rsid w:val="007974CF"/>
    <w:rsid w:val="00797FAE"/>
    <w:rsid w:val="007A076E"/>
    <w:rsid w:val="007A0FED"/>
    <w:rsid w:val="007A28D7"/>
    <w:rsid w:val="007A2EFC"/>
    <w:rsid w:val="007A3452"/>
    <w:rsid w:val="007A3B12"/>
    <w:rsid w:val="007A4836"/>
    <w:rsid w:val="007A4FD2"/>
    <w:rsid w:val="007B022A"/>
    <w:rsid w:val="007B0BA6"/>
    <w:rsid w:val="007B2B41"/>
    <w:rsid w:val="007B4E8B"/>
    <w:rsid w:val="007B5264"/>
    <w:rsid w:val="007B7E3D"/>
    <w:rsid w:val="007C0B27"/>
    <w:rsid w:val="007C16F8"/>
    <w:rsid w:val="007C1D44"/>
    <w:rsid w:val="007C1E2C"/>
    <w:rsid w:val="007C2146"/>
    <w:rsid w:val="007C47C5"/>
    <w:rsid w:val="007C57C2"/>
    <w:rsid w:val="007C7648"/>
    <w:rsid w:val="007C77FB"/>
    <w:rsid w:val="007D0088"/>
    <w:rsid w:val="007D0A61"/>
    <w:rsid w:val="007D20B2"/>
    <w:rsid w:val="007D24C1"/>
    <w:rsid w:val="007D299C"/>
    <w:rsid w:val="007D4423"/>
    <w:rsid w:val="007D52EB"/>
    <w:rsid w:val="007D59E5"/>
    <w:rsid w:val="007D744B"/>
    <w:rsid w:val="007E2F7D"/>
    <w:rsid w:val="007E5425"/>
    <w:rsid w:val="007E6A29"/>
    <w:rsid w:val="007F0992"/>
    <w:rsid w:val="007F09FB"/>
    <w:rsid w:val="007F1076"/>
    <w:rsid w:val="007F1922"/>
    <w:rsid w:val="007F3329"/>
    <w:rsid w:val="007F50C4"/>
    <w:rsid w:val="007F6126"/>
    <w:rsid w:val="007F6A04"/>
    <w:rsid w:val="00801853"/>
    <w:rsid w:val="00802A77"/>
    <w:rsid w:val="00803C94"/>
    <w:rsid w:val="00804676"/>
    <w:rsid w:val="00804B41"/>
    <w:rsid w:val="00805525"/>
    <w:rsid w:val="00805A64"/>
    <w:rsid w:val="00806D06"/>
    <w:rsid w:val="008073AE"/>
    <w:rsid w:val="00810135"/>
    <w:rsid w:val="0081116B"/>
    <w:rsid w:val="00811781"/>
    <w:rsid w:val="008125BE"/>
    <w:rsid w:val="008129B8"/>
    <w:rsid w:val="00814C57"/>
    <w:rsid w:val="00815DC2"/>
    <w:rsid w:val="008161C5"/>
    <w:rsid w:val="008202D2"/>
    <w:rsid w:val="00820657"/>
    <w:rsid w:val="008218BA"/>
    <w:rsid w:val="00822FD5"/>
    <w:rsid w:val="0082471C"/>
    <w:rsid w:val="008264E8"/>
    <w:rsid w:val="00826A3F"/>
    <w:rsid w:val="00826DEA"/>
    <w:rsid w:val="0083112F"/>
    <w:rsid w:val="00831D13"/>
    <w:rsid w:val="00834764"/>
    <w:rsid w:val="00837656"/>
    <w:rsid w:val="00841170"/>
    <w:rsid w:val="00841645"/>
    <w:rsid w:val="00841BB2"/>
    <w:rsid w:val="00842774"/>
    <w:rsid w:val="00842F0D"/>
    <w:rsid w:val="00844285"/>
    <w:rsid w:val="00845F08"/>
    <w:rsid w:val="008467C2"/>
    <w:rsid w:val="0084682B"/>
    <w:rsid w:val="008469C9"/>
    <w:rsid w:val="00847BB1"/>
    <w:rsid w:val="0085066E"/>
    <w:rsid w:val="0085147E"/>
    <w:rsid w:val="008530D0"/>
    <w:rsid w:val="00853FB4"/>
    <w:rsid w:val="00854B1B"/>
    <w:rsid w:val="0085566B"/>
    <w:rsid w:val="00855DD6"/>
    <w:rsid w:val="008567B3"/>
    <w:rsid w:val="00856E65"/>
    <w:rsid w:val="008605F1"/>
    <w:rsid w:val="008615FC"/>
    <w:rsid w:val="00862098"/>
    <w:rsid w:val="00863244"/>
    <w:rsid w:val="008637DD"/>
    <w:rsid w:val="00864297"/>
    <w:rsid w:val="00864F44"/>
    <w:rsid w:val="00865D87"/>
    <w:rsid w:val="008663C7"/>
    <w:rsid w:val="0086649D"/>
    <w:rsid w:val="00867E4C"/>
    <w:rsid w:val="0087084E"/>
    <w:rsid w:val="00870E27"/>
    <w:rsid w:val="00871B7C"/>
    <w:rsid w:val="0087227E"/>
    <w:rsid w:val="0087337F"/>
    <w:rsid w:val="008737F5"/>
    <w:rsid w:val="008739AD"/>
    <w:rsid w:val="00873B9C"/>
    <w:rsid w:val="0087450B"/>
    <w:rsid w:val="008749BB"/>
    <w:rsid w:val="008762B2"/>
    <w:rsid w:val="00877945"/>
    <w:rsid w:val="0088008C"/>
    <w:rsid w:val="00880918"/>
    <w:rsid w:val="00880A85"/>
    <w:rsid w:val="00880CA8"/>
    <w:rsid w:val="00880E78"/>
    <w:rsid w:val="00882DFD"/>
    <w:rsid w:val="00883F7E"/>
    <w:rsid w:val="00884205"/>
    <w:rsid w:val="00884275"/>
    <w:rsid w:val="00884DF2"/>
    <w:rsid w:val="00885B88"/>
    <w:rsid w:val="00885C7E"/>
    <w:rsid w:val="00885E0D"/>
    <w:rsid w:val="00887ACB"/>
    <w:rsid w:val="0089015D"/>
    <w:rsid w:val="0089114B"/>
    <w:rsid w:val="00891B06"/>
    <w:rsid w:val="00891E8F"/>
    <w:rsid w:val="00892DD9"/>
    <w:rsid w:val="00893009"/>
    <w:rsid w:val="0089337F"/>
    <w:rsid w:val="008970D2"/>
    <w:rsid w:val="00897F2D"/>
    <w:rsid w:val="008A061D"/>
    <w:rsid w:val="008A1A0D"/>
    <w:rsid w:val="008A4233"/>
    <w:rsid w:val="008A46F3"/>
    <w:rsid w:val="008A5165"/>
    <w:rsid w:val="008A67B0"/>
    <w:rsid w:val="008B1298"/>
    <w:rsid w:val="008B28BF"/>
    <w:rsid w:val="008B2FA8"/>
    <w:rsid w:val="008B495D"/>
    <w:rsid w:val="008B6B3D"/>
    <w:rsid w:val="008B71B8"/>
    <w:rsid w:val="008B7330"/>
    <w:rsid w:val="008C2F52"/>
    <w:rsid w:val="008C31DA"/>
    <w:rsid w:val="008C4094"/>
    <w:rsid w:val="008C4C3E"/>
    <w:rsid w:val="008C5F33"/>
    <w:rsid w:val="008C65B9"/>
    <w:rsid w:val="008C66D1"/>
    <w:rsid w:val="008C749F"/>
    <w:rsid w:val="008D1CA4"/>
    <w:rsid w:val="008D22FD"/>
    <w:rsid w:val="008D2766"/>
    <w:rsid w:val="008D3BBE"/>
    <w:rsid w:val="008D3FB3"/>
    <w:rsid w:val="008D4164"/>
    <w:rsid w:val="008D4330"/>
    <w:rsid w:val="008D4833"/>
    <w:rsid w:val="008D54D4"/>
    <w:rsid w:val="008D5F87"/>
    <w:rsid w:val="008D7336"/>
    <w:rsid w:val="008D7E5C"/>
    <w:rsid w:val="008E11AA"/>
    <w:rsid w:val="008E1290"/>
    <w:rsid w:val="008E1AB6"/>
    <w:rsid w:val="008E2595"/>
    <w:rsid w:val="008E2B56"/>
    <w:rsid w:val="008E42B7"/>
    <w:rsid w:val="008E4D08"/>
    <w:rsid w:val="008E530E"/>
    <w:rsid w:val="008E55F5"/>
    <w:rsid w:val="008E67EF"/>
    <w:rsid w:val="008E7C6C"/>
    <w:rsid w:val="008E7FF3"/>
    <w:rsid w:val="008F1E2A"/>
    <w:rsid w:val="008F26D1"/>
    <w:rsid w:val="008F2BDE"/>
    <w:rsid w:val="008F2C0A"/>
    <w:rsid w:val="008F3354"/>
    <w:rsid w:val="008F3A27"/>
    <w:rsid w:val="008F532F"/>
    <w:rsid w:val="008F661C"/>
    <w:rsid w:val="008F72CC"/>
    <w:rsid w:val="008F753F"/>
    <w:rsid w:val="0090032D"/>
    <w:rsid w:val="00900A07"/>
    <w:rsid w:val="00901009"/>
    <w:rsid w:val="00901028"/>
    <w:rsid w:val="00901974"/>
    <w:rsid w:val="00901BDD"/>
    <w:rsid w:val="0090461A"/>
    <w:rsid w:val="00905B14"/>
    <w:rsid w:val="00906A53"/>
    <w:rsid w:val="00906A75"/>
    <w:rsid w:val="00906AAB"/>
    <w:rsid w:val="00906C6E"/>
    <w:rsid w:val="00910081"/>
    <w:rsid w:val="009129DE"/>
    <w:rsid w:val="00912F0B"/>
    <w:rsid w:val="009140A2"/>
    <w:rsid w:val="00914F97"/>
    <w:rsid w:val="009155C5"/>
    <w:rsid w:val="00915F99"/>
    <w:rsid w:val="00916213"/>
    <w:rsid w:val="00917194"/>
    <w:rsid w:val="009209DA"/>
    <w:rsid w:val="009230DB"/>
    <w:rsid w:val="0092348B"/>
    <w:rsid w:val="0092487C"/>
    <w:rsid w:val="0092645F"/>
    <w:rsid w:val="009268B3"/>
    <w:rsid w:val="00927D14"/>
    <w:rsid w:val="0093017F"/>
    <w:rsid w:val="00934EBD"/>
    <w:rsid w:val="00936B14"/>
    <w:rsid w:val="00937B53"/>
    <w:rsid w:val="00940D0B"/>
    <w:rsid w:val="009417D1"/>
    <w:rsid w:val="009418AA"/>
    <w:rsid w:val="009421D7"/>
    <w:rsid w:val="0094294C"/>
    <w:rsid w:val="009451A6"/>
    <w:rsid w:val="009459C6"/>
    <w:rsid w:val="00945E14"/>
    <w:rsid w:val="00946E27"/>
    <w:rsid w:val="00950C59"/>
    <w:rsid w:val="009517E5"/>
    <w:rsid w:val="00955766"/>
    <w:rsid w:val="009576BC"/>
    <w:rsid w:val="00960351"/>
    <w:rsid w:val="00960DDD"/>
    <w:rsid w:val="00962BD3"/>
    <w:rsid w:val="0096336B"/>
    <w:rsid w:val="009639DC"/>
    <w:rsid w:val="009653C9"/>
    <w:rsid w:val="00966ADD"/>
    <w:rsid w:val="00971132"/>
    <w:rsid w:val="00971617"/>
    <w:rsid w:val="009716A8"/>
    <w:rsid w:val="00972EE5"/>
    <w:rsid w:val="00973ACF"/>
    <w:rsid w:val="00974A7F"/>
    <w:rsid w:val="009752FB"/>
    <w:rsid w:val="009755D2"/>
    <w:rsid w:val="00975EEC"/>
    <w:rsid w:val="0097783E"/>
    <w:rsid w:val="0098040A"/>
    <w:rsid w:val="0098172B"/>
    <w:rsid w:val="009820FF"/>
    <w:rsid w:val="009827CB"/>
    <w:rsid w:val="00983E5C"/>
    <w:rsid w:val="009846F9"/>
    <w:rsid w:val="009855AD"/>
    <w:rsid w:val="009862DD"/>
    <w:rsid w:val="00986C71"/>
    <w:rsid w:val="00990985"/>
    <w:rsid w:val="00991316"/>
    <w:rsid w:val="009915E2"/>
    <w:rsid w:val="00991884"/>
    <w:rsid w:val="00991CED"/>
    <w:rsid w:val="00992F21"/>
    <w:rsid w:val="00993305"/>
    <w:rsid w:val="00993C3C"/>
    <w:rsid w:val="00993EE5"/>
    <w:rsid w:val="00995040"/>
    <w:rsid w:val="00995D18"/>
    <w:rsid w:val="00995DE9"/>
    <w:rsid w:val="009979DB"/>
    <w:rsid w:val="00997BD0"/>
    <w:rsid w:val="00997BE1"/>
    <w:rsid w:val="009A01CD"/>
    <w:rsid w:val="009A0DCE"/>
    <w:rsid w:val="009A1A69"/>
    <w:rsid w:val="009A30DD"/>
    <w:rsid w:val="009A3FF2"/>
    <w:rsid w:val="009A4339"/>
    <w:rsid w:val="009A546F"/>
    <w:rsid w:val="009A5BE8"/>
    <w:rsid w:val="009A6D4F"/>
    <w:rsid w:val="009A6F0E"/>
    <w:rsid w:val="009A7E86"/>
    <w:rsid w:val="009B0DB9"/>
    <w:rsid w:val="009B1057"/>
    <w:rsid w:val="009B24E4"/>
    <w:rsid w:val="009B2C9F"/>
    <w:rsid w:val="009B386F"/>
    <w:rsid w:val="009B4148"/>
    <w:rsid w:val="009B4A06"/>
    <w:rsid w:val="009B53A5"/>
    <w:rsid w:val="009B54B3"/>
    <w:rsid w:val="009B63E0"/>
    <w:rsid w:val="009B7B81"/>
    <w:rsid w:val="009C2291"/>
    <w:rsid w:val="009C307C"/>
    <w:rsid w:val="009C5184"/>
    <w:rsid w:val="009C51D3"/>
    <w:rsid w:val="009C5450"/>
    <w:rsid w:val="009C5B35"/>
    <w:rsid w:val="009C6281"/>
    <w:rsid w:val="009C75E8"/>
    <w:rsid w:val="009C7FEB"/>
    <w:rsid w:val="009D0C96"/>
    <w:rsid w:val="009D1733"/>
    <w:rsid w:val="009D2548"/>
    <w:rsid w:val="009D2712"/>
    <w:rsid w:val="009D3184"/>
    <w:rsid w:val="009D4D52"/>
    <w:rsid w:val="009D53A6"/>
    <w:rsid w:val="009D5E55"/>
    <w:rsid w:val="009D661C"/>
    <w:rsid w:val="009D66BD"/>
    <w:rsid w:val="009D67F4"/>
    <w:rsid w:val="009D68A8"/>
    <w:rsid w:val="009D706E"/>
    <w:rsid w:val="009E087F"/>
    <w:rsid w:val="009E0E9B"/>
    <w:rsid w:val="009E2A36"/>
    <w:rsid w:val="009E40C9"/>
    <w:rsid w:val="009E468E"/>
    <w:rsid w:val="009E59A6"/>
    <w:rsid w:val="009E7DCF"/>
    <w:rsid w:val="009F0CA9"/>
    <w:rsid w:val="009F1E5B"/>
    <w:rsid w:val="009F1F46"/>
    <w:rsid w:val="009F3129"/>
    <w:rsid w:val="009F3211"/>
    <w:rsid w:val="00A008FE"/>
    <w:rsid w:val="00A00D58"/>
    <w:rsid w:val="00A01A8E"/>
    <w:rsid w:val="00A05B25"/>
    <w:rsid w:val="00A05B58"/>
    <w:rsid w:val="00A07CE8"/>
    <w:rsid w:val="00A101FF"/>
    <w:rsid w:val="00A10685"/>
    <w:rsid w:val="00A10C4A"/>
    <w:rsid w:val="00A112D6"/>
    <w:rsid w:val="00A12123"/>
    <w:rsid w:val="00A12FEF"/>
    <w:rsid w:val="00A1397A"/>
    <w:rsid w:val="00A13E08"/>
    <w:rsid w:val="00A1403C"/>
    <w:rsid w:val="00A17050"/>
    <w:rsid w:val="00A22108"/>
    <w:rsid w:val="00A248FB"/>
    <w:rsid w:val="00A25F84"/>
    <w:rsid w:val="00A2684A"/>
    <w:rsid w:val="00A26A70"/>
    <w:rsid w:val="00A26E2F"/>
    <w:rsid w:val="00A27E43"/>
    <w:rsid w:val="00A314AE"/>
    <w:rsid w:val="00A317FF"/>
    <w:rsid w:val="00A31F0A"/>
    <w:rsid w:val="00A327AD"/>
    <w:rsid w:val="00A334DC"/>
    <w:rsid w:val="00A33CD3"/>
    <w:rsid w:val="00A34EAF"/>
    <w:rsid w:val="00A35A6F"/>
    <w:rsid w:val="00A35E0A"/>
    <w:rsid w:val="00A3698C"/>
    <w:rsid w:val="00A41AB3"/>
    <w:rsid w:val="00A41F7C"/>
    <w:rsid w:val="00A42115"/>
    <w:rsid w:val="00A42C4A"/>
    <w:rsid w:val="00A42C4C"/>
    <w:rsid w:val="00A45985"/>
    <w:rsid w:val="00A45ADF"/>
    <w:rsid w:val="00A4638E"/>
    <w:rsid w:val="00A467D8"/>
    <w:rsid w:val="00A50CF1"/>
    <w:rsid w:val="00A51CFB"/>
    <w:rsid w:val="00A5622F"/>
    <w:rsid w:val="00A5632A"/>
    <w:rsid w:val="00A563D1"/>
    <w:rsid w:val="00A62770"/>
    <w:rsid w:val="00A63325"/>
    <w:rsid w:val="00A6384A"/>
    <w:rsid w:val="00A6384F"/>
    <w:rsid w:val="00A659A1"/>
    <w:rsid w:val="00A660C5"/>
    <w:rsid w:val="00A66B26"/>
    <w:rsid w:val="00A67223"/>
    <w:rsid w:val="00A6745A"/>
    <w:rsid w:val="00A707EA"/>
    <w:rsid w:val="00A70D0B"/>
    <w:rsid w:val="00A71570"/>
    <w:rsid w:val="00A7157B"/>
    <w:rsid w:val="00A72627"/>
    <w:rsid w:val="00A7300B"/>
    <w:rsid w:val="00A7346A"/>
    <w:rsid w:val="00A75020"/>
    <w:rsid w:val="00A80DFF"/>
    <w:rsid w:val="00A82F9A"/>
    <w:rsid w:val="00A838F0"/>
    <w:rsid w:val="00A84956"/>
    <w:rsid w:val="00A86CE4"/>
    <w:rsid w:val="00A876BD"/>
    <w:rsid w:val="00A878A6"/>
    <w:rsid w:val="00A9087B"/>
    <w:rsid w:val="00A91088"/>
    <w:rsid w:val="00A92AD2"/>
    <w:rsid w:val="00A9320A"/>
    <w:rsid w:val="00A93516"/>
    <w:rsid w:val="00A9354D"/>
    <w:rsid w:val="00A93E14"/>
    <w:rsid w:val="00A9462E"/>
    <w:rsid w:val="00A9488C"/>
    <w:rsid w:val="00A94ADB"/>
    <w:rsid w:val="00A95A8C"/>
    <w:rsid w:val="00A9704B"/>
    <w:rsid w:val="00A9773D"/>
    <w:rsid w:val="00AA0602"/>
    <w:rsid w:val="00AA0AFE"/>
    <w:rsid w:val="00AA10CC"/>
    <w:rsid w:val="00AA1850"/>
    <w:rsid w:val="00AA36A8"/>
    <w:rsid w:val="00AA3A8C"/>
    <w:rsid w:val="00AA3BE9"/>
    <w:rsid w:val="00AA3DAF"/>
    <w:rsid w:val="00AA4A2C"/>
    <w:rsid w:val="00AA5F77"/>
    <w:rsid w:val="00AA6EA5"/>
    <w:rsid w:val="00AB05BE"/>
    <w:rsid w:val="00AB350B"/>
    <w:rsid w:val="00AB4EAF"/>
    <w:rsid w:val="00AB6E4C"/>
    <w:rsid w:val="00AB723C"/>
    <w:rsid w:val="00AB7A19"/>
    <w:rsid w:val="00AC6C57"/>
    <w:rsid w:val="00AC6E0D"/>
    <w:rsid w:val="00AC7B18"/>
    <w:rsid w:val="00AD0F1F"/>
    <w:rsid w:val="00AD22F1"/>
    <w:rsid w:val="00AD6CA8"/>
    <w:rsid w:val="00AD73E6"/>
    <w:rsid w:val="00AD7C93"/>
    <w:rsid w:val="00AE17E3"/>
    <w:rsid w:val="00AE24C3"/>
    <w:rsid w:val="00AE2686"/>
    <w:rsid w:val="00AE293C"/>
    <w:rsid w:val="00AE3DBD"/>
    <w:rsid w:val="00AE44DA"/>
    <w:rsid w:val="00AE4A10"/>
    <w:rsid w:val="00AE5F12"/>
    <w:rsid w:val="00AE640C"/>
    <w:rsid w:val="00AE7523"/>
    <w:rsid w:val="00AF042A"/>
    <w:rsid w:val="00AF060F"/>
    <w:rsid w:val="00AF0D74"/>
    <w:rsid w:val="00AF3116"/>
    <w:rsid w:val="00AF3475"/>
    <w:rsid w:val="00AF34A7"/>
    <w:rsid w:val="00AF50B2"/>
    <w:rsid w:val="00AF7F75"/>
    <w:rsid w:val="00B020CE"/>
    <w:rsid w:val="00B03349"/>
    <w:rsid w:val="00B033CC"/>
    <w:rsid w:val="00B03E4E"/>
    <w:rsid w:val="00B05D23"/>
    <w:rsid w:val="00B0692E"/>
    <w:rsid w:val="00B103CA"/>
    <w:rsid w:val="00B10DCE"/>
    <w:rsid w:val="00B11112"/>
    <w:rsid w:val="00B12080"/>
    <w:rsid w:val="00B12405"/>
    <w:rsid w:val="00B1267D"/>
    <w:rsid w:val="00B129D0"/>
    <w:rsid w:val="00B13F69"/>
    <w:rsid w:val="00B14790"/>
    <w:rsid w:val="00B15D37"/>
    <w:rsid w:val="00B16BD5"/>
    <w:rsid w:val="00B207EF"/>
    <w:rsid w:val="00B22EE9"/>
    <w:rsid w:val="00B235B1"/>
    <w:rsid w:val="00B23C02"/>
    <w:rsid w:val="00B24257"/>
    <w:rsid w:val="00B25264"/>
    <w:rsid w:val="00B27216"/>
    <w:rsid w:val="00B275B6"/>
    <w:rsid w:val="00B27FE8"/>
    <w:rsid w:val="00B3089D"/>
    <w:rsid w:val="00B3255D"/>
    <w:rsid w:val="00B32583"/>
    <w:rsid w:val="00B327AC"/>
    <w:rsid w:val="00B33403"/>
    <w:rsid w:val="00B33F9B"/>
    <w:rsid w:val="00B34034"/>
    <w:rsid w:val="00B34E0A"/>
    <w:rsid w:val="00B350B5"/>
    <w:rsid w:val="00B36DC6"/>
    <w:rsid w:val="00B37C42"/>
    <w:rsid w:val="00B41143"/>
    <w:rsid w:val="00B41E65"/>
    <w:rsid w:val="00B42214"/>
    <w:rsid w:val="00B42E0A"/>
    <w:rsid w:val="00B42FDF"/>
    <w:rsid w:val="00B43865"/>
    <w:rsid w:val="00B44191"/>
    <w:rsid w:val="00B4494A"/>
    <w:rsid w:val="00B45B56"/>
    <w:rsid w:val="00B4751B"/>
    <w:rsid w:val="00B4792C"/>
    <w:rsid w:val="00B52FFE"/>
    <w:rsid w:val="00B5367F"/>
    <w:rsid w:val="00B54CE7"/>
    <w:rsid w:val="00B55208"/>
    <w:rsid w:val="00B5595A"/>
    <w:rsid w:val="00B56454"/>
    <w:rsid w:val="00B56CA3"/>
    <w:rsid w:val="00B57A21"/>
    <w:rsid w:val="00B57B9A"/>
    <w:rsid w:val="00B60638"/>
    <w:rsid w:val="00B6086A"/>
    <w:rsid w:val="00B62924"/>
    <w:rsid w:val="00B62DB7"/>
    <w:rsid w:val="00B648EF"/>
    <w:rsid w:val="00B672CC"/>
    <w:rsid w:val="00B6771B"/>
    <w:rsid w:val="00B67897"/>
    <w:rsid w:val="00B67CB4"/>
    <w:rsid w:val="00B705CA"/>
    <w:rsid w:val="00B7218C"/>
    <w:rsid w:val="00B723C9"/>
    <w:rsid w:val="00B7365A"/>
    <w:rsid w:val="00B76AFD"/>
    <w:rsid w:val="00B779DE"/>
    <w:rsid w:val="00B77BBF"/>
    <w:rsid w:val="00B8045D"/>
    <w:rsid w:val="00B80BCA"/>
    <w:rsid w:val="00B80D6A"/>
    <w:rsid w:val="00B81404"/>
    <w:rsid w:val="00B8185E"/>
    <w:rsid w:val="00B83AB6"/>
    <w:rsid w:val="00B8412A"/>
    <w:rsid w:val="00B8435D"/>
    <w:rsid w:val="00B84B91"/>
    <w:rsid w:val="00B85829"/>
    <w:rsid w:val="00B8634E"/>
    <w:rsid w:val="00B865D3"/>
    <w:rsid w:val="00B868CA"/>
    <w:rsid w:val="00B868D1"/>
    <w:rsid w:val="00B90331"/>
    <w:rsid w:val="00B90712"/>
    <w:rsid w:val="00B916E0"/>
    <w:rsid w:val="00B91C05"/>
    <w:rsid w:val="00B91C1F"/>
    <w:rsid w:val="00B93E21"/>
    <w:rsid w:val="00B9426A"/>
    <w:rsid w:val="00B96260"/>
    <w:rsid w:val="00B96375"/>
    <w:rsid w:val="00B97092"/>
    <w:rsid w:val="00B97958"/>
    <w:rsid w:val="00BA0086"/>
    <w:rsid w:val="00BA0508"/>
    <w:rsid w:val="00BA3C7F"/>
    <w:rsid w:val="00BA4BC7"/>
    <w:rsid w:val="00BA4DB0"/>
    <w:rsid w:val="00BA5522"/>
    <w:rsid w:val="00BA5717"/>
    <w:rsid w:val="00BA6D5C"/>
    <w:rsid w:val="00BA6F5E"/>
    <w:rsid w:val="00BA75C3"/>
    <w:rsid w:val="00BB16AB"/>
    <w:rsid w:val="00BB16C7"/>
    <w:rsid w:val="00BB18B0"/>
    <w:rsid w:val="00BB2E2D"/>
    <w:rsid w:val="00BB436C"/>
    <w:rsid w:val="00BB501C"/>
    <w:rsid w:val="00BB522E"/>
    <w:rsid w:val="00BB6A1D"/>
    <w:rsid w:val="00BB6D87"/>
    <w:rsid w:val="00BB7143"/>
    <w:rsid w:val="00BC0049"/>
    <w:rsid w:val="00BC0FC5"/>
    <w:rsid w:val="00BC1104"/>
    <w:rsid w:val="00BC1AED"/>
    <w:rsid w:val="00BC59DF"/>
    <w:rsid w:val="00BC7469"/>
    <w:rsid w:val="00BD01D2"/>
    <w:rsid w:val="00BD25DF"/>
    <w:rsid w:val="00BD300D"/>
    <w:rsid w:val="00BD3266"/>
    <w:rsid w:val="00BD3D56"/>
    <w:rsid w:val="00BD3F5A"/>
    <w:rsid w:val="00BD4458"/>
    <w:rsid w:val="00BD474E"/>
    <w:rsid w:val="00BD538F"/>
    <w:rsid w:val="00BD6F4E"/>
    <w:rsid w:val="00BE07E6"/>
    <w:rsid w:val="00BE0B6A"/>
    <w:rsid w:val="00BE1231"/>
    <w:rsid w:val="00BE1855"/>
    <w:rsid w:val="00BE41C1"/>
    <w:rsid w:val="00BE4A5B"/>
    <w:rsid w:val="00BE5050"/>
    <w:rsid w:val="00BE5AF8"/>
    <w:rsid w:val="00BE5CF4"/>
    <w:rsid w:val="00BE61AC"/>
    <w:rsid w:val="00BE6CA9"/>
    <w:rsid w:val="00BF08B5"/>
    <w:rsid w:val="00BF11D6"/>
    <w:rsid w:val="00BF1538"/>
    <w:rsid w:val="00BF263B"/>
    <w:rsid w:val="00BF554B"/>
    <w:rsid w:val="00BF5A6A"/>
    <w:rsid w:val="00BF5C9E"/>
    <w:rsid w:val="00BF7EE5"/>
    <w:rsid w:val="00C0037B"/>
    <w:rsid w:val="00C00AF2"/>
    <w:rsid w:val="00C018F5"/>
    <w:rsid w:val="00C01C82"/>
    <w:rsid w:val="00C02BB4"/>
    <w:rsid w:val="00C054A6"/>
    <w:rsid w:val="00C0566B"/>
    <w:rsid w:val="00C056E4"/>
    <w:rsid w:val="00C07790"/>
    <w:rsid w:val="00C078A0"/>
    <w:rsid w:val="00C12018"/>
    <w:rsid w:val="00C128AB"/>
    <w:rsid w:val="00C131C5"/>
    <w:rsid w:val="00C14359"/>
    <w:rsid w:val="00C14AF3"/>
    <w:rsid w:val="00C15CF5"/>
    <w:rsid w:val="00C166F4"/>
    <w:rsid w:val="00C1730E"/>
    <w:rsid w:val="00C20BF2"/>
    <w:rsid w:val="00C21F3A"/>
    <w:rsid w:val="00C22615"/>
    <w:rsid w:val="00C27427"/>
    <w:rsid w:val="00C3001A"/>
    <w:rsid w:val="00C3004C"/>
    <w:rsid w:val="00C305FE"/>
    <w:rsid w:val="00C30B70"/>
    <w:rsid w:val="00C3193A"/>
    <w:rsid w:val="00C33118"/>
    <w:rsid w:val="00C33BE8"/>
    <w:rsid w:val="00C35068"/>
    <w:rsid w:val="00C3522B"/>
    <w:rsid w:val="00C35267"/>
    <w:rsid w:val="00C3571F"/>
    <w:rsid w:val="00C365EC"/>
    <w:rsid w:val="00C42267"/>
    <w:rsid w:val="00C4248C"/>
    <w:rsid w:val="00C437ED"/>
    <w:rsid w:val="00C445C4"/>
    <w:rsid w:val="00C44DB2"/>
    <w:rsid w:val="00C456F2"/>
    <w:rsid w:val="00C4598D"/>
    <w:rsid w:val="00C45F5F"/>
    <w:rsid w:val="00C50419"/>
    <w:rsid w:val="00C517AE"/>
    <w:rsid w:val="00C52234"/>
    <w:rsid w:val="00C5328F"/>
    <w:rsid w:val="00C542ED"/>
    <w:rsid w:val="00C546B3"/>
    <w:rsid w:val="00C54F81"/>
    <w:rsid w:val="00C602C7"/>
    <w:rsid w:val="00C6036B"/>
    <w:rsid w:val="00C60A9B"/>
    <w:rsid w:val="00C60D69"/>
    <w:rsid w:val="00C613AB"/>
    <w:rsid w:val="00C627FB"/>
    <w:rsid w:val="00C63EF2"/>
    <w:rsid w:val="00C6445C"/>
    <w:rsid w:val="00C64FD0"/>
    <w:rsid w:val="00C66F95"/>
    <w:rsid w:val="00C67BE1"/>
    <w:rsid w:val="00C7126E"/>
    <w:rsid w:val="00C71EA3"/>
    <w:rsid w:val="00C728E8"/>
    <w:rsid w:val="00C730AA"/>
    <w:rsid w:val="00C74125"/>
    <w:rsid w:val="00C74B2F"/>
    <w:rsid w:val="00C7683A"/>
    <w:rsid w:val="00C77ADC"/>
    <w:rsid w:val="00C77D29"/>
    <w:rsid w:val="00C80161"/>
    <w:rsid w:val="00C80F3E"/>
    <w:rsid w:val="00C81411"/>
    <w:rsid w:val="00C8144D"/>
    <w:rsid w:val="00C8257F"/>
    <w:rsid w:val="00C830EC"/>
    <w:rsid w:val="00C83457"/>
    <w:rsid w:val="00C8689E"/>
    <w:rsid w:val="00C86B5D"/>
    <w:rsid w:val="00C87CC6"/>
    <w:rsid w:val="00C87F83"/>
    <w:rsid w:val="00C90CBB"/>
    <w:rsid w:val="00C9229E"/>
    <w:rsid w:val="00C93BE5"/>
    <w:rsid w:val="00C93E91"/>
    <w:rsid w:val="00C942F4"/>
    <w:rsid w:val="00C94E1F"/>
    <w:rsid w:val="00C960ED"/>
    <w:rsid w:val="00C971C8"/>
    <w:rsid w:val="00C974B1"/>
    <w:rsid w:val="00C97D9B"/>
    <w:rsid w:val="00CA151D"/>
    <w:rsid w:val="00CA1955"/>
    <w:rsid w:val="00CA1AD9"/>
    <w:rsid w:val="00CA3161"/>
    <w:rsid w:val="00CA360F"/>
    <w:rsid w:val="00CA3907"/>
    <w:rsid w:val="00CA3F8F"/>
    <w:rsid w:val="00CA4590"/>
    <w:rsid w:val="00CA621B"/>
    <w:rsid w:val="00CA658A"/>
    <w:rsid w:val="00CA7B52"/>
    <w:rsid w:val="00CA7ECA"/>
    <w:rsid w:val="00CB037D"/>
    <w:rsid w:val="00CB1613"/>
    <w:rsid w:val="00CB16A2"/>
    <w:rsid w:val="00CB19AD"/>
    <w:rsid w:val="00CB70D9"/>
    <w:rsid w:val="00CC2B41"/>
    <w:rsid w:val="00CC2DE3"/>
    <w:rsid w:val="00CC46B7"/>
    <w:rsid w:val="00CC5838"/>
    <w:rsid w:val="00CC6538"/>
    <w:rsid w:val="00CC6E48"/>
    <w:rsid w:val="00CC6EAD"/>
    <w:rsid w:val="00CC7464"/>
    <w:rsid w:val="00CC7961"/>
    <w:rsid w:val="00CD0363"/>
    <w:rsid w:val="00CD2790"/>
    <w:rsid w:val="00CD284E"/>
    <w:rsid w:val="00CD2A3E"/>
    <w:rsid w:val="00CD42B5"/>
    <w:rsid w:val="00CD4ACE"/>
    <w:rsid w:val="00CD50B0"/>
    <w:rsid w:val="00CD5A3E"/>
    <w:rsid w:val="00CD61A8"/>
    <w:rsid w:val="00CD6D7C"/>
    <w:rsid w:val="00CD7737"/>
    <w:rsid w:val="00CD796D"/>
    <w:rsid w:val="00CD7C32"/>
    <w:rsid w:val="00CE294C"/>
    <w:rsid w:val="00CE3933"/>
    <w:rsid w:val="00CE4D1E"/>
    <w:rsid w:val="00CF1547"/>
    <w:rsid w:val="00CF1925"/>
    <w:rsid w:val="00CF194D"/>
    <w:rsid w:val="00CF255D"/>
    <w:rsid w:val="00CF5849"/>
    <w:rsid w:val="00CF6FB1"/>
    <w:rsid w:val="00D0099F"/>
    <w:rsid w:val="00D00AAE"/>
    <w:rsid w:val="00D00D33"/>
    <w:rsid w:val="00D03B62"/>
    <w:rsid w:val="00D03E6C"/>
    <w:rsid w:val="00D041BC"/>
    <w:rsid w:val="00D05E32"/>
    <w:rsid w:val="00D0609C"/>
    <w:rsid w:val="00D0707E"/>
    <w:rsid w:val="00D104DE"/>
    <w:rsid w:val="00D11484"/>
    <w:rsid w:val="00D132F8"/>
    <w:rsid w:val="00D148FC"/>
    <w:rsid w:val="00D16728"/>
    <w:rsid w:val="00D17426"/>
    <w:rsid w:val="00D174FF"/>
    <w:rsid w:val="00D216EA"/>
    <w:rsid w:val="00D23738"/>
    <w:rsid w:val="00D2382C"/>
    <w:rsid w:val="00D23F37"/>
    <w:rsid w:val="00D26136"/>
    <w:rsid w:val="00D30856"/>
    <w:rsid w:val="00D30B81"/>
    <w:rsid w:val="00D30F4E"/>
    <w:rsid w:val="00D31CBA"/>
    <w:rsid w:val="00D32116"/>
    <w:rsid w:val="00D34C4F"/>
    <w:rsid w:val="00D35003"/>
    <w:rsid w:val="00D3548D"/>
    <w:rsid w:val="00D36865"/>
    <w:rsid w:val="00D372C0"/>
    <w:rsid w:val="00D40770"/>
    <w:rsid w:val="00D4089E"/>
    <w:rsid w:val="00D42F19"/>
    <w:rsid w:val="00D47015"/>
    <w:rsid w:val="00D47819"/>
    <w:rsid w:val="00D502E8"/>
    <w:rsid w:val="00D51B32"/>
    <w:rsid w:val="00D51F8D"/>
    <w:rsid w:val="00D5202C"/>
    <w:rsid w:val="00D524A5"/>
    <w:rsid w:val="00D53590"/>
    <w:rsid w:val="00D55201"/>
    <w:rsid w:val="00D56176"/>
    <w:rsid w:val="00D5676C"/>
    <w:rsid w:val="00D56BFB"/>
    <w:rsid w:val="00D57F6E"/>
    <w:rsid w:val="00D60CD7"/>
    <w:rsid w:val="00D61AEC"/>
    <w:rsid w:val="00D626A5"/>
    <w:rsid w:val="00D62923"/>
    <w:rsid w:val="00D631B2"/>
    <w:rsid w:val="00D63FFE"/>
    <w:rsid w:val="00D6432F"/>
    <w:rsid w:val="00D662D0"/>
    <w:rsid w:val="00D67B40"/>
    <w:rsid w:val="00D67BD0"/>
    <w:rsid w:val="00D705B5"/>
    <w:rsid w:val="00D711EB"/>
    <w:rsid w:val="00D71EE2"/>
    <w:rsid w:val="00D722C7"/>
    <w:rsid w:val="00D72EE8"/>
    <w:rsid w:val="00D741A0"/>
    <w:rsid w:val="00D74837"/>
    <w:rsid w:val="00D75D28"/>
    <w:rsid w:val="00D768FC"/>
    <w:rsid w:val="00D76AE3"/>
    <w:rsid w:val="00D8022B"/>
    <w:rsid w:val="00D808B0"/>
    <w:rsid w:val="00D80959"/>
    <w:rsid w:val="00D81331"/>
    <w:rsid w:val="00D816B9"/>
    <w:rsid w:val="00D818D5"/>
    <w:rsid w:val="00D81ED5"/>
    <w:rsid w:val="00D82598"/>
    <w:rsid w:val="00D8389D"/>
    <w:rsid w:val="00D83955"/>
    <w:rsid w:val="00D83F9C"/>
    <w:rsid w:val="00D84BB0"/>
    <w:rsid w:val="00D87A0A"/>
    <w:rsid w:val="00D912CF"/>
    <w:rsid w:val="00D91649"/>
    <w:rsid w:val="00D918D1"/>
    <w:rsid w:val="00D9212A"/>
    <w:rsid w:val="00D948A8"/>
    <w:rsid w:val="00D94AC8"/>
    <w:rsid w:val="00D96A54"/>
    <w:rsid w:val="00DA05E3"/>
    <w:rsid w:val="00DA06A6"/>
    <w:rsid w:val="00DA0B18"/>
    <w:rsid w:val="00DA3EC2"/>
    <w:rsid w:val="00DA4D82"/>
    <w:rsid w:val="00DA5337"/>
    <w:rsid w:val="00DA58BE"/>
    <w:rsid w:val="00DA7A78"/>
    <w:rsid w:val="00DA7B07"/>
    <w:rsid w:val="00DB1C83"/>
    <w:rsid w:val="00DB5D57"/>
    <w:rsid w:val="00DB6257"/>
    <w:rsid w:val="00DB62C0"/>
    <w:rsid w:val="00DC02C0"/>
    <w:rsid w:val="00DC1D9D"/>
    <w:rsid w:val="00DC1E3A"/>
    <w:rsid w:val="00DC439C"/>
    <w:rsid w:val="00DC556F"/>
    <w:rsid w:val="00DC5914"/>
    <w:rsid w:val="00DC66A7"/>
    <w:rsid w:val="00DC7EA7"/>
    <w:rsid w:val="00DD0AA1"/>
    <w:rsid w:val="00DD1CAC"/>
    <w:rsid w:val="00DD677A"/>
    <w:rsid w:val="00DD67B1"/>
    <w:rsid w:val="00DD6D12"/>
    <w:rsid w:val="00DD7F53"/>
    <w:rsid w:val="00DE0A47"/>
    <w:rsid w:val="00DE0E89"/>
    <w:rsid w:val="00DE328D"/>
    <w:rsid w:val="00DE422F"/>
    <w:rsid w:val="00DE5D94"/>
    <w:rsid w:val="00DE6D25"/>
    <w:rsid w:val="00DF09A8"/>
    <w:rsid w:val="00DF4B2C"/>
    <w:rsid w:val="00DF4F69"/>
    <w:rsid w:val="00DF5452"/>
    <w:rsid w:val="00DF60C2"/>
    <w:rsid w:val="00DF70C7"/>
    <w:rsid w:val="00DF78D0"/>
    <w:rsid w:val="00E00F88"/>
    <w:rsid w:val="00E018AB"/>
    <w:rsid w:val="00E0215F"/>
    <w:rsid w:val="00E03264"/>
    <w:rsid w:val="00E046F6"/>
    <w:rsid w:val="00E05180"/>
    <w:rsid w:val="00E0626A"/>
    <w:rsid w:val="00E06520"/>
    <w:rsid w:val="00E07582"/>
    <w:rsid w:val="00E07D9A"/>
    <w:rsid w:val="00E10D7B"/>
    <w:rsid w:val="00E10F0A"/>
    <w:rsid w:val="00E11FE6"/>
    <w:rsid w:val="00E127EB"/>
    <w:rsid w:val="00E128A6"/>
    <w:rsid w:val="00E12C16"/>
    <w:rsid w:val="00E13931"/>
    <w:rsid w:val="00E14CD0"/>
    <w:rsid w:val="00E14EB8"/>
    <w:rsid w:val="00E1574B"/>
    <w:rsid w:val="00E20004"/>
    <w:rsid w:val="00E2089B"/>
    <w:rsid w:val="00E2118E"/>
    <w:rsid w:val="00E22D51"/>
    <w:rsid w:val="00E23372"/>
    <w:rsid w:val="00E23A9D"/>
    <w:rsid w:val="00E23DF3"/>
    <w:rsid w:val="00E2426C"/>
    <w:rsid w:val="00E25059"/>
    <w:rsid w:val="00E2526B"/>
    <w:rsid w:val="00E26E5F"/>
    <w:rsid w:val="00E303F6"/>
    <w:rsid w:val="00E3142B"/>
    <w:rsid w:val="00E31A44"/>
    <w:rsid w:val="00E31D80"/>
    <w:rsid w:val="00E32DD8"/>
    <w:rsid w:val="00E34127"/>
    <w:rsid w:val="00E34605"/>
    <w:rsid w:val="00E35E4B"/>
    <w:rsid w:val="00E35FC5"/>
    <w:rsid w:val="00E40012"/>
    <w:rsid w:val="00E40EAB"/>
    <w:rsid w:val="00E413C2"/>
    <w:rsid w:val="00E42593"/>
    <w:rsid w:val="00E42E87"/>
    <w:rsid w:val="00E43F4A"/>
    <w:rsid w:val="00E450DA"/>
    <w:rsid w:val="00E45A73"/>
    <w:rsid w:val="00E46600"/>
    <w:rsid w:val="00E47617"/>
    <w:rsid w:val="00E47C9C"/>
    <w:rsid w:val="00E503E7"/>
    <w:rsid w:val="00E535E4"/>
    <w:rsid w:val="00E54B65"/>
    <w:rsid w:val="00E5569F"/>
    <w:rsid w:val="00E55746"/>
    <w:rsid w:val="00E55BFF"/>
    <w:rsid w:val="00E56FA1"/>
    <w:rsid w:val="00E575B9"/>
    <w:rsid w:val="00E57932"/>
    <w:rsid w:val="00E57BA1"/>
    <w:rsid w:val="00E61940"/>
    <w:rsid w:val="00E61E5C"/>
    <w:rsid w:val="00E62720"/>
    <w:rsid w:val="00E62CF4"/>
    <w:rsid w:val="00E634E9"/>
    <w:rsid w:val="00E644C3"/>
    <w:rsid w:val="00E6475C"/>
    <w:rsid w:val="00E64805"/>
    <w:rsid w:val="00E64B90"/>
    <w:rsid w:val="00E6624A"/>
    <w:rsid w:val="00E663C3"/>
    <w:rsid w:val="00E7188F"/>
    <w:rsid w:val="00E72E8C"/>
    <w:rsid w:val="00E72FEC"/>
    <w:rsid w:val="00E732FD"/>
    <w:rsid w:val="00E756BF"/>
    <w:rsid w:val="00E7573A"/>
    <w:rsid w:val="00E77A39"/>
    <w:rsid w:val="00E77DB6"/>
    <w:rsid w:val="00E8220C"/>
    <w:rsid w:val="00E82864"/>
    <w:rsid w:val="00E82AA4"/>
    <w:rsid w:val="00E82BD6"/>
    <w:rsid w:val="00E82D5C"/>
    <w:rsid w:val="00E83A0E"/>
    <w:rsid w:val="00E83B04"/>
    <w:rsid w:val="00E840F7"/>
    <w:rsid w:val="00E84C91"/>
    <w:rsid w:val="00E869A6"/>
    <w:rsid w:val="00E86E7B"/>
    <w:rsid w:val="00E87841"/>
    <w:rsid w:val="00E8797D"/>
    <w:rsid w:val="00E90203"/>
    <w:rsid w:val="00E90ACB"/>
    <w:rsid w:val="00E926A2"/>
    <w:rsid w:val="00E940C1"/>
    <w:rsid w:val="00E95FDB"/>
    <w:rsid w:val="00E9606E"/>
    <w:rsid w:val="00E96852"/>
    <w:rsid w:val="00E97F55"/>
    <w:rsid w:val="00EA0B81"/>
    <w:rsid w:val="00EA3BE9"/>
    <w:rsid w:val="00EA3E69"/>
    <w:rsid w:val="00EA5BBB"/>
    <w:rsid w:val="00EA6EF6"/>
    <w:rsid w:val="00EB1768"/>
    <w:rsid w:val="00EB28B7"/>
    <w:rsid w:val="00EB2F1D"/>
    <w:rsid w:val="00EB32AE"/>
    <w:rsid w:val="00EB35B3"/>
    <w:rsid w:val="00EB5EA2"/>
    <w:rsid w:val="00EB6134"/>
    <w:rsid w:val="00EB7959"/>
    <w:rsid w:val="00EC0F3F"/>
    <w:rsid w:val="00EC1095"/>
    <w:rsid w:val="00EC138C"/>
    <w:rsid w:val="00EC17DC"/>
    <w:rsid w:val="00EC38D2"/>
    <w:rsid w:val="00EC5C89"/>
    <w:rsid w:val="00EC6012"/>
    <w:rsid w:val="00EC63C5"/>
    <w:rsid w:val="00EC6538"/>
    <w:rsid w:val="00EC7D2A"/>
    <w:rsid w:val="00EC7EB0"/>
    <w:rsid w:val="00ED0AE4"/>
    <w:rsid w:val="00ED0C8E"/>
    <w:rsid w:val="00ED1A22"/>
    <w:rsid w:val="00ED28AD"/>
    <w:rsid w:val="00ED2B1D"/>
    <w:rsid w:val="00ED402B"/>
    <w:rsid w:val="00ED4121"/>
    <w:rsid w:val="00ED430B"/>
    <w:rsid w:val="00ED559B"/>
    <w:rsid w:val="00ED6FA1"/>
    <w:rsid w:val="00EE03AA"/>
    <w:rsid w:val="00EE15ED"/>
    <w:rsid w:val="00EE32E7"/>
    <w:rsid w:val="00EE4522"/>
    <w:rsid w:val="00EE4756"/>
    <w:rsid w:val="00EE4CBB"/>
    <w:rsid w:val="00EE54B0"/>
    <w:rsid w:val="00EE5E20"/>
    <w:rsid w:val="00EE77C8"/>
    <w:rsid w:val="00EF0822"/>
    <w:rsid w:val="00EF2461"/>
    <w:rsid w:val="00EF2ABA"/>
    <w:rsid w:val="00EF339E"/>
    <w:rsid w:val="00EF483B"/>
    <w:rsid w:val="00EF4E91"/>
    <w:rsid w:val="00EF5D56"/>
    <w:rsid w:val="00EF6B36"/>
    <w:rsid w:val="00EF6D7C"/>
    <w:rsid w:val="00F01031"/>
    <w:rsid w:val="00F023B7"/>
    <w:rsid w:val="00F0252C"/>
    <w:rsid w:val="00F032DF"/>
    <w:rsid w:val="00F035DE"/>
    <w:rsid w:val="00F037A0"/>
    <w:rsid w:val="00F051B3"/>
    <w:rsid w:val="00F0553B"/>
    <w:rsid w:val="00F06AC0"/>
    <w:rsid w:val="00F06C71"/>
    <w:rsid w:val="00F0717D"/>
    <w:rsid w:val="00F07A97"/>
    <w:rsid w:val="00F1057F"/>
    <w:rsid w:val="00F1148B"/>
    <w:rsid w:val="00F11B58"/>
    <w:rsid w:val="00F1246B"/>
    <w:rsid w:val="00F168DC"/>
    <w:rsid w:val="00F16A4F"/>
    <w:rsid w:val="00F16A76"/>
    <w:rsid w:val="00F17281"/>
    <w:rsid w:val="00F17464"/>
    <w:rsid w:val="00F17D2B"/>
    <w:rsid w:val="00F202AB"/>
    <w:rsid w:val="00F2078B"/>
    <w:rsid w:val="00F213E6"/>
    <w:rsid w:val="00F218C8"/>
    <w:rsid w:val="00F2275E"/>
    <w:rsid w:val="00F22B90"/>
    <w:rsid w:val="00F24822"/>
    <w:rsid w:val="00F250A8"/>
    <w:rsid w:val="00F254B6"/>
    <w:rsid w:val="00F25A19"/>
    <w:rsid w:val="00F25E05"/>
    <w:rsid w:val="00F263C3"/>
    <w:rsid w:val="00F26753"/>
    <w:rsid w:val="00F273A3"/>
    <w:rsid w:val="00F30820"/>
    <w:rsid w:val="00F30FBA"/>
    <w:rsid w:val="00F30FBB"/>
    <w:rsid w:val="00F33A6F"/>
    <w:rsid w:val="00F33D50"/>
    <w:rsid w:val="00F3499E"/>
    <w:rsid w:val="00F35266"/>
    <w:rsid w:val="00F3551A"/>
    <w:rsid w:val="00F36C5C"/>
    <w:rsid w:val="00F36DC5"/>
    <w:rsid w:val="00F377E1"/>
    <w:rsid w:val="00F378CB"/>
    <w:rsid w:val="00F415A0"/>
    <w:rsid w:val="00F41A31"/>
    <w:rsid w:val="00F42754"/>
    <w:rsid w:val="00F42B06"/>
    <w:rsid w:val="00F42DEB"/>
    <w:rsid w:val="00F43A15"/>
    <w:rsid w:val="00F43DA3"/>
    <w:rsid w:val="00F43DF8"/>
    <w:rsid w:val="00F4409D"/>
    <w:rsid w:val="00F448A3"/>
    <w:rsid w:val="00F45166"/>
    <w:rsid w:val="00F45BA1"/>
    <w:rsid w:val="00F46C60"/>
    <w:rsid w:val="00F47108"/>
    <w:rsid w:val="00F47FF6"/>
    <w:rsid w:val="00F50109"/>
    <w:rsid w:val="00F50A53"/>
    <w:rsid w:val="00F50EE4"/>
    <w:rsid w:val="00F510F5"/>
    <w:rsid w:val="00F5146D"/>
    <w:rsid w:val="00F51AE9"/>
    <w:rsid w:val="00F51F6E"/>
    <w:rsid w:val="00F52A73"/>
    <w:rsid w:val="00F52C91"/>
    <w:rsid w:val="00F538EF"/>
    <w:rsid w:val="00F53CF6"/>
    <w:rsid w:val="00F54553"/>
    <w:rsid w:val="00F54AA6"/>
    <w:rsid w:val="00F54B7C"/>
    <w:rsid w:val="00F55445"/>
    <w:rsid w:val="00F556F2"/>
    <w:rsid w:val="00F57BB9"/>
    <w:rsid w:val="00F60389"/>
    <w:rsid w:val="00F61B9C"/>
    <w:rsid w:val="00F62D16"/>
    <w:rsid w:val="00F63989"/>
    <w:rsid w:val="00F654A9"/>
    <w:rsid w:val="00F659B4"/>
    <w:rsid w:val="00F66373"/>
    <w:rsid w:val="00F716A1"/>
    <w:rsid w:val="00F71FE0"/>
    <w:rsid w:val="00F72CE4"/>
    <w:rsid w:val="00F73357"/>
    <w:rsid w:val="00F73A1F"/>
    <w:rsid w:val="00F74C7D"/>
    <w:rsid w:val="00F769C1"/>
    <w:rsid w:val="00F771E1"/>
    <w:rsid w:val="00F805C0"/>
    <w:rsid w:val="00F81746"/>
    <w:rsid w:val="00F820B2"/>
    <w:rsid w:val="00F82179"/>
    <w:rsid w:val="00F82AE0"/>
    <w:rsid w:val="00F84228"/>
    <w:rsid w:val="00F8452E"/>
    <w:rsid w:val="00F84CD8"/>
    <w:rsid w:val="00F84E8C"/>
    <w:rsid w:val="00F84EA0"/>
    <w:rsid w:val="00F84FBB"/>
    <w:rsid w:val="00F86665"/>
    <w:rsid w:val="00F876B1"/>
    <w:rsid w:val="00F928C8"/>
    <w:rsid w:val="00F930E2"/>
    <w:rsid w:val="00F931C3"/>
    <w:rsid w:val="00F97382"/>
    <w:rsid w:val="00FA0DF5"/>
    <w:rsid w:val="00FA1703"/>
    <w:rsid w:val="00FA2F6E"/>
    <w:rsid w:val="00FA593A"/>
    <w:rsid w:val="00FA6555"/>
    <w:rsid w:val="00FA6DE0"/>
    <w:rsid w:val="00FB03DF"/>
    <w:rsid w:val="00FB0B70"/>
    <w:rsid w:val="00FB252C"/>
    <w:rsid w:val="00FB254C"/>
    <w:rsid w:val="00FB2E4B"/>
    <w:rsid w:val="00FB3327"/>
    <w:rsid w:val="00FB39DB"/>
    <w:rsid w:val="00FB575F"/>
    <w:rsid w:val="00FB5D05"/>
    <w:rsid w:val="00FB6796"/>
    <w:rsid w:val="00FB6A61"/>
    <w:rsid w:val="00FC09B5"/>
    <w:rsid w:val="00FC0CFB"/>
    <w:rsid w:val="00FC0D0D"/>
    <w:rsid w:val="00FC0F37"/>
    <w:rsid w:val="00FC1F5B"/>
    <w:rsid w:val="00FC26E0"/>
    <w:rsid w:val="00FC3C7F"/>
    <w:rsid w:val="00FC3F57"/>
    <w:rsid w:val="00FC4E62"/>
    <w:rsid w:val="00FC5C12"/>
    <w:rsid w:val="00FC5C55"/>
    <w:rsid w:val="00FC5FFC"/>
    <w:rsid w:val="00FC6397"/>
    <w:rsid w:val="00FC6504"/>
    <w:rsid w:val="00FC67BE"/>
    <w:rsid w:val="00FD1655"/>
    <w:rsid w:val="00FD17AA"/>
    <w:rsid w:val="00FD21B2"/>
    <w:rsid w:val="00FD2DC5"/>
    <w:rsid w:val="00FD30AF"/>
    <w:rsid w:val="00FD3E7C"/>
    <w:rsid w:val="00FD52A3"/>
    <w:rsid w:val="00FD681C"/>
    <w:rsid w:val="00FD72C1"/>
    <w:rsid w:val="00FD7F53"/>
    <w:rsid w:val="00FE0B1B"/>
    <w:rsid w:val="00FE254D"/>
    <w:rsid w:val="00FE313F"/>
    <w:rsid w:val="00FE4149"/>
    <w:rsid w:val="00FE5B62"/>
    <w:rsid w:val="00FE611D"/>
    <w:rsid w:val="00FE6DEA"/>
    <w:rsid w:val="00FF0D50"/>
    <w:rsid w:val="00FF11A3"/>
    <w:rsid w:val="00FF2357"/>
    <w:rsid w:val="00FF2734"/>
    <w:rsid w:val="00FF401E"/>
    <w:rsid w:val="00FF4816"/>
    <w:rsid w:val="00FF4F8B"/>
    <w:rsid w:val="00FF6202"/>
    <w:rsid w:val="00FF6247"/>
    <w:rsid w:val="0161757B"/>
    <w:rsid w:val="016B6753"/>
    <w:rsid w:val="01D6349F"/>
    <w:rsid w:val="01FA4275"/>
    <w:rsid w:val="02CE04AC"/>
    <w:rsid w:val="02F97CC4"/>
    <w:rsid w:val="030A76A7"/>
    <w:rsid w:val="0378495A"/>
    <w:rsid w:val="038444A6"/>
    <w:rsid w:val="03971555"/>
    <w:rsid w:val="03DB7B1B"/>
    <w:rsid w:val="041766DA"/>
    <w:rsid w:val="043D6561"/>
    <w:rsid w:val="053C7765"/>
    <w:rsid w:val="056A6CD1"/>
    <w:rsid w:val="05D17F7F"/>
    <w:rsid w:val="05F63074"/>
    <w:rsid w:val="061A3F6B"/>
    <w:rsid w:val="0626253C"/>
    <w:rsid w:val="0628795A"/>
    <w:rsid w:val="068B6E64"/>
    <w:rsid w:val="06F07589"/>
    <w:rsid w:val="06FF670C"/>
    <w:rsid w:val="0713000A"/>
    <w:rsid w:val="072165A6"/>
    <w:rsid w:val="07981428"/>
    <w:rsid w:val="07C1256B"/>
    <w:rsid w:val="07D36D85"/>
    <w:rsid w:val="089F7109"/>
    <w:rsid w:val="0A664ED7"/>
    <w:rsid w:val="0AFB65A5"/>
    <w:rsid w:val="0B141841"/>
    <w:rsid w:val="0B394258"/>
    <w:rsid w:val="0BA16C7F"/>
    <w:rsid w:val="0BE2120D"/>
    <w:rsid w:val="0BEA7265"/>
    <w:rsid w:val="0C3F6D75"/>
    <w:rsid w:val="0C4F5216"/>
    <w:rsid w:val="0D5827B0"/>
    <w:rsid w:val="0E946329"/>
    <w:rsid w:val="102F5C17"/>
    <w:rsid w:val="106244CF"/>
    <w:rsid w:val="10C72D04"/>
    <w:rsid w:val="10DE5426"/>
    <w:rsid w:val="11487686"/>
    <w:rsid w:val="11B73E06"/>
    <w:rsid w:val="11C7315E"/>
    <w:rsid w:val="11D42A47"/>
    <w:rsid w:val="11E375ED"/>
    <w:rsid w:val="131B1746"/>
    <w:rsid w:val="137A5FEE"/>
    <w:rsid w:val="13B004EA"/>
    <w:rsid w:val="13BE4771"/>
    <w:rsid w:val="13C720C3"/>
    <w:rsid w:val="145A44C8"/>
    <w:rsid w:val="14790213"/>
    <w:rsid w:val="14AC44FE"/>
    <w:rsid w:val="15036325"/>
    <w:rsid w:val="152226E3"/>
    <w:rsid w:val="15B43D6C"/>
    <w:rsid w:val="163D0287"/>
    <w:rsid w:val="16402ECE"/>
    <w:rsid w:val="16855526"/>
    <w:rsid w:val="16E96862"/>
    <w:rsid w:val="17005B65"/>
    <w:rsid w:val="17042158"/>
    <w:rsid w:val="173F2F83"/>
    <w:rsid w:val="180D5149"/>
    <w:rsid w:val="18DA6759"/>
    <w:rsid w:val="19016C19"/>
    <w:rsid w:val="1915205C"/>
    <w:rsid w:val="19360BD2"/>
    <w:rsid w:val="194A6C70"/>
    <w:rsid w:val="1965363A"/>
    <w:rsid w:val="1AB37BA7"/>
    <w:rsid w:val="1AB85863"/>
    <w:rsid w:val="1B3D0051"/>
    <w:rsid w:val="1B4406D3"/>
    <w:rsid w:val="1B6E348A"/>
    <w:rsid w:val="1B773B33"/>
    <w:rsid w:val="1BB3162E"/>
    <w:rsid w:val="1BD326EF"/>
    <w:rsid w:val="1C496749"/>
    <w:rsid w:val="1C6451B9"/>
    <w:rsid w:val="1CE44F73"/>
    <w:rsid w:val="1CEF6506"/>
    <w:rsid w:val="1D8475DC"/>
    <w:rsid w:val="1E3A429F"/>
    <w:rsid w:val="1EC22A2F"/>
    <w:rsid w:val="1EF81A31"/>
    <w:rsid w:val="1FB438C4"/>
    <w:rsid w:val="201530B5"/>
    <w:rsid w:val="201B3719"/>
    <w:rsid w:val="20202928"/>
    <w:rsid w:val="20A73817"/>
    <w:rsid w:val="20B65C5E"/>
    <w:rsid w:val="20C56418"/>
    <w:rsid w:val="21545E46"/>
    <w:rsid w:val="216A197A"/>
    <w:rsid w:val="2193679F"/>
    <w:rsid w:val="21A40068"/>
    <w:rsid w:val="21A53DAB"/>
    <w:rsid w:val="22020AD3"/>
    <w:rsid w:val="22497790"/>
    <w:rsid w:val="22A9253A"/>
    <w:rsid w:val="22B632F2"/>
    <w:rsid w:val="230F55E3"/>
    <w:rsid w:val="233F61D3"/>
    <w:rsid w:val="237A3843"/>
    <w:rsid w:val="238909EE"/>
    <w:rsid w:val="23D51D0D"/>
    <w:rsid w:val="24142167"/>
    <w:rsid w:val="245A60DD"/>
    <w:rsid w:val="246A5024"/>
    <w:rsid w:val="24B90217"/>
    <w:rsid w:val="256E78C6"/>
    <w:rsid w:val="25DE1D9A"/>
    <w:rsid w:val="261D675D"/>
    <w:rsid w:val="265423D3"/>
    <w:rsid w:val="26DF3FA1"/>
    <w:rsid w:val="26F95D77"/>
    <w:rsid w:val="27245D52"/>
    <w:rsid w:val="275A128D"/>
    <w:rsid w:val="276A35E2"/>
    <w:rsid w:val="277207AA"/>
    <w:rsid w:val="277C6451"/>
    <w:rsid w:val="27D1307C"/>
    <w:rsid w:val="27D305E4"/>
    <w:rsid w:val="27D52431"/>
    <w:rsid w:val="27E32ECC"/>
    <w:rsid w:val="280520E5"/>
    <w:rsid w:val="2821469E"/>
    <w:rsid w:val="287B370C"/>
    <w:rsid w:val="289920CB"/>
    <w:rsid w:val="28BE5C08"/>
    <w:rsid w:val="29EF1F69"/>
    <w:rsid w:val="2AE93240"/>
    <w:rsid w:val="2AFC3D91"/>
    <w:rsid w:val="2B2336C4"/>
    <w:rsid w:val="2B34004D"/>
    <w:rsid w:val="2B9340FA"/>
    <w:rsid w:val="2BC75513"/>
    <w:rsid w:val="2BE510D2"/>
    <w:rsid w:val="2C627A59"/>
    <w:rsid w:val="2CB60360"/>
    <w:rsid w:val="2CDF57AE"/>
    <w:rsid w:val="2D40591E"/>
    <w:rsid w:val="2DD63425"/>
    <w:rsid w:val="2DE16400"/>
    <w:rsid w:val="2E773E2A"/>
    <w:rsid w:val="2F876ED4"/>
    <w:rsid w:val="2FA71409"/>
    <w:rsid w:val="2FA734B1"/>
    <w:rsid w:val="2FCA6BA1"/>
    <w:rsid w:val="301049F9"/>
    <w:rsid w:val="301A0765"/>
    <w:rsid w:val="30736EDA"/>
    <w:rsid w:val="307E580D"/>
    <w:rsid w:val="308C3BF4"/>
    <w:rsid w:val="30C71504"/>
    <w:rsid w:val="30DF16AD"/>
    <w:rsid w:val="314104F3"/>
    <w:rsid w:val="3151180D"/>
    <w:rsid w:val="316F6A54"/>
    <w:rsid w:val="31D25336"/>
    <w:rsid w:val="31DB4055"/>
    <w:rsid w:val="323D2ECC"/>
    <w:rsid w:val="324D4AC1"/>
    <w:rsid w:val="328224D6"/>
    <w:rsid w:val="330F3839"/>
    <w:rsid w:val="33125033"/>
    <w:rsid w:val="3336324A"/>
    <w:rsid w:val="336C131A"/>
    <w:rsid w:val="339E777D"/>
    <w:rsid w:val="33C62B0D"/>
    <w:rsid w:val="33CF38A1"/>
    <w:rsid w:val="340551E6"/>
    <w:rsid w:val="34161D74"/>
    <w:rsid w:val="347D7457"/>
    <w:rsid w:val="34E145C1"/>
    <w:rsid w:val="35434B23"/>
    <w:rsid w:val="36126573"/>
    <w:rsid w:val="364A1E40"/>
    <w:rsid w:val="365328F1"/>
    <w:rsid w:val="365E0E62"/>
    <w:rsid w:val="36C108A2"/>
    <w:rsid w:val="36D449F3"/>
    <w:rsid w:val="36F90A3C"/>
    <w:rsid w:val="37452107"/>
    <w:rsid w:val="3749000A"/>
    <w:rsid w:val="375061F4"/>
    <w:rsid w:val="3758498B"/>
    <w:rsid w:val="379D2E5F"/>
    <w:rsid w:val="38720E76"/>
    <w:rsid w:val="39282356"/>
    <w:rsid w:val="3A100788"/>
    <w:rsid w:val="3A995C38"/>
    <w:rsid w:val="3ACA69F4"/>
    <w:rsid w:val="3AD62DF9"/>
    <w:rsid w:val="3B424B14"/>
    <w:rsid w:val="3BAA54E6"/>
    <w:rsid w:val="3BDC0213"/>
    <w:rsid w:val="3CF545BF"/>
    <w:rsid w:val="3E237021"/>
    <w:rsid w:val="3F2E19F3"/>
    <w:rsid w:val="3F6E49CC"/>
    <w:rsid w:val="3F8A6434"/>
    <w:rsid w:val="400E33A6"/>
    <w:rsid w:val="40380979"/>
    <w:rsid w:val="40727CF0"/>
    <w:rsid w:val="40921799"/>
    <w:rsid w:val="41127601"/>
    <w:rsid w:val="420943B4"/>
    <w:rsid w:val="421E4010"/>
    <w:rsid w:val="44D12863"/>
    <w:rsid w:val="44FC3D9D"/>
    <w:rsid w:val="452E5A6A"/>
    <w:rsid w:val="45E46685"/>
    <w:rsid w:val="464D7612"/>
    <w:rsid w:val="47522940"/>
    <w:rsid w:val="47D3738C"/>
    <w:rsid w:val="480007B1"/>
    <w:rsid w:val="488A648C"/>
    <w:rsid w:val="4893582D"/>
    <w:rsid w:val="48AF5CF6"/>
    <w:rsid w:val="48B4287C"/>
    <w:rsid w:val="48C23251"/>
    <w:rsid w:val="48C81B87"/>
    <w:rsid w:val="48E85438"/>
    <w:rsid w:val="48FB2191"/>
    <w:rsid w:val="49367873"/>
    <w:rsid w:val="49B30FD7"/>
    <w:rsid w:val="4A0E2CBE"/>
    <w:rsid w:val="4AAB1457"/>
    <w:rsid w:val="4ABD332A"/>
    <w:rsid w:val="4AE42653"/>
    <w:rsid w:val="4AE65F7B"/>
    <w:rsid w:val="4B2E471E"/>
    <w:rsid w:val="4B491667"/>
    <w:rsid w:val="4BA14178"/>
    <w:rsid w:val="4CD351D5"/>
    <w:rsid w:val="4D524B06"/>
    <w:rsid w:val="4D9F20DC"/>
    <w:rsid w:val="4DBB1F28"/>
    <w:rsid w:val="4DF7511C"/>
    <w:rsid w:val="4E1E6FB4"/>
    <w:rsid w:val="4E3058B3"/>
    <w:rsid w:val="4E8F41A5"/>
    <w:rsid w:val="4F46503D"/>
    <w:rsid w:val="4F4F2305"/>
    <w:rsid w:val="4F5748BE"/>
    <w:rsid w:val="4FA77D36"/>
    <w:rsid w:val="501F0D5C"/>
    <w:rsid w:val="519C1BFC"/>
    <w:rsid w:val="52093B7E"/>
    <w:rsid w:val="528658BD"/>
    <w:rsid w:val="52D770FE"/>
    <w:rsid w:val="53B16217"/>
    <w:rsid w:val="53BE7C5F"/>
    <w:rsid w:val="54417DD2"/>
    <w:rsid w:val="54B32AB5"/>
    <w:rsid w:val="54B56DE4"/>
    <w:rsid w:val="54F60266"/>
    <w:rsid w:val="56023EA7"/>
    <w:rsid w:val="566715B0"/>
    <w:rsid w:val="56C721A9"/>
    <w:rsid w:val="56FF79AE"/>
    <w:rsid w:val="5777520F"/>
    <w:rsid w:val="579E3EA7"/>
    <w:rsid w:val="579F61DC"/>
    <w:rsid w:val="57BC53A5"/>
    <w:rsid w:val="5A200355"/>
    <w:rsid w:val="5A245D97"/>
    <w:rsid w:val="5A306924"/>
    <w:rsid w:val="5AFF12A2"/>
    <w:rsid w:val="5B186647"/>
    <w:rsid w:val="5B995719"/>
    <w:rsid w:val="5BB71A12"/>
    <w:rsid w:val="5BFD323E"/>
    <w:rsid w:val="5C1F4891"/>
    <w:rsid w:val="5C735E93"/>
    <w:rsid w:val="5C8966C3"/>
    <w:rsid w:val="5CC8270D"/>
    <w:rsid w:val="5D547C13"/>
    <w:rsid w:val="5D99089C"/>
    <w:rsid w:val="5E4312A3"/>
    <w:rsid w:val="5E473128"/>
    <w:rsid w:val="5E5A357D"/>
    <w:rsid w:val="5E995C44"/>
    <w:rsid w:val="5EBC5EC3"/>
    <w:rsid w:val="605B235D"/>
    <w:rsid w:val="606138DA"/>
    <w:rsid w:val="60AA2351"/>
    <w:rsid w:val="60B12C0E"/>
    <w:rsid w:val="60BC12FB"/>
    <w:rsid w:val="60F528E7"/>
    <w:rsid w:val="60FD59D1"/>
    <w:rsid w:val="61064FB4"/>
    <w:rsid w:val="612A0AF8"/>
    <w:rsid w:val="61324142"/>
    <w:rsid w:val="613E1634"/>
    <w:rsid w:val="62446EEA"/>
    <w:rsid w:val="625F44A6"/>
    <w:rsid w:val="628A2E32"/>
    <w:rsid w:val="62A830BC"/>
    <w:rsid w:val="62C21B13"/>
    <w:rsid w:val="62F060FB"/>
    <w:rsid w:val="63B8099E"/>
    <w:rsid w:val="63B97EC9"/>
    <w:rsid w:val="63D11D5A"/>
    <w:rsid w:val="63DF4F99"/>
    <w:rsid w:val="641775CD"/>
    <w:rsid w:val="644C7DB8"/>
    <w:rsid w:val="6545455D"/>
    <w:rsid w:val="65495368"/>
    <w:rsid w:val="65764795"/>
    <w:rsid w:val="663B4193"/>
    <w:rsid w:val="66B4104D"/>
    <w:rsid w:val="671A3FE5"/>
    <w:rsid w:val="673503E1"/>
    <w:rsid w:val="6786711E"/>
    <w:rsid w:val="682A4F77"/>
    <w:rsid w:val="68534D38"/>
    <w:rsid w:val="68803D3E"/>
    <w:rsid w:val="68A902C7"/>
    <w:rsid w:val="697B6888"/>
    <w:rsid w:val="6A293C53"/>
    <w:rsid w:val="6B046F38"/>
    <w:rsid w:val="6C232EEE"/>
    <w:rsid w:val="6C530873"/>
    <w:rsid w:val="6CD65B2F"/>
    <w:rsid w:val="6D603359"/>
    <w:rsid w:val="6D6106C1"/>
    <w:rsid w:val="6DA933CC"/>
    <w:rsid w:val="6DEC7EBD"/>
    <w:rsid w:val="6E7563B5"/>
    <w:rsid w:val="6E954023"/>
    <w:rsid w:val="6EE36820"/>
    <w:rsid w:val="6F103F40"/>
    <w:rsid w:val="6F503500"/>
    <w:rsid w:val="6FED5A31"/>
    <w:rsid w:val="6FF96343"/>
    <w:rsid w:val="701234CA"/>
    <w:rsid w:val="70155089"/>
    <w:rsid w:val="704104B0"/>
    <w:rsid w:val="70B32A4C"/>
    <w:rsid w:val="70EC7D43"/>
    <w:rsid w:val="719F1EF7"/>
    <w:rsid w:val="71D674C1"/>
    <w:rsid w:val="71EE5440"/>
    <w:rsid w:val="72175726"/>
    <w:rsid w:val="72322DAD"/>
    <w:rsid w:val="723948FA"/>
    <w:rsid w:val="72942589"/>
    <w:rsid w:val="72E10290"/>
    <w:rsid w:val="731F61F0"/>
    <w:rsid w:val="734F131E"/>
    <w:rsid w:val="73985007"/>
    <w:rsid w:val="739A2820"/>
    <w:rsid w:val="73BF3305"/>
    <w:rsid w:val="73D155C8"/>
    <w:rsid w:val="74007628"/>
    <w:rsid w:val="74562E48"/>
    <w:rsid w:val="746A50C1"/>
    <w:rsid w:val="753116B5"/>
    <w:rsid w:val="756B3BF0"/>
    <w:rsid w:val="75923D23"/>
    <w:rsid w:val="75EE797E"/>
    <w:rsid w:val="761B2D8C"/>
    <w:rsid w:val="767F4E40"/>
    <w:rsid w:val="76837A39"/>
    <w:rsid w:val="76CC29F6"/>
    <w:rsid w:val="77002501"/>
    <w:rsid w:val="77772BAB"/>
    <w:rsid w:val="77DA1612"/>
    <w:rsid w:val="78563F64"/>
    <w:rsid w:val="792E6D61"/>
    <w:rsid w:val="79343965"/>
    <w:rsid w:val="7952660A"/>
    <w:rsid w:val="797B48A2"/>
    <w:rsid w:val="79A701C8"/>
    <w:rsid w:val="79B221C5"/>
    <w:rsid w:val="79B61120"/>
    <w:rsid w:val="79B934C1"/>
    <w:rsid w:val="79E55E50"/>
    <w:rsid w:val="7A3D329E"/>
    <w:rsid w:val="7A523CE0"/>
    <w:rsid w:val="7A5B3233"/>
    <w:rsid w:val="7A672360"/>
    <w:rsid w:val="7ACE064B"/>
    <w:rsid w:val="7AED2831"/>
    <w:rsid w:val="7B040187"/>
    <w:rsid w:val="7B6D51AB"/>
    <w:rsid w:val="7BBC1493"/>
    <w:rsid w:val="7BD116E3"/>
    <w:rsid w:val="7BD6295A"/>
    <w:rsid w:val="7C720025"/>
    <w:rsid w:val="7C95737C"/>
    <w:rsid w:val="7D643062"/>
    <w:rsid w:val="7DFC101C"/>
    <w:rsid w:val="7E2E1CCA"/>
    <w:rsid w:val="7E610479"/>
    <w:rsid w:val="7E862AD0"/>
    <w:rsid w:val="7ED67AD4"/>
    <w:rsid w:val="7F034E42"/>
    <w:rsid w:val="7F035887"/>
    <w:rsid w:val="7F2A3A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39" w:semiHidden="0" w:name="toc 5"/>
    <w:lsdException w:qFormat="1" w:unhideWhenUsed="0" w:uiPriority="39" w:semiHidden="0" w:name="toc 6"/>
    <w:lsdException w:qFormat="1" w:unhideWhenUsed="0" w:uiPriority="39"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0" w:name="footnote text"/>
    <w:lsdException w:qFormat="1" w:uiPriority="0" w:semiHidden="0" w:name="annotation text"/>
    <w:lsdException w:qFormat="1" w:uiPriority="0" w:semiHidden="0" w:name="header"/>
    <w:lsdException w:qFormat="1"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uiPriority="0" w:name="List Bullet"/>
    <w:lsdException w:qFormat="1"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iPriority="0" w:name="Block Text"/>
    <w:lsdException w:qFormat="1"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81"/>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82"/>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link w:val="83"/>
    <w:qFormat/>
    <w:uiPriority w:val="0"/>
    <w:pPr>
      <w:keepNext/>
      <w:keepLines/>
      <w:spacing w:before="260" w:after="260" w:line="416" w:lineRule="auto"/>
      <w:outlineLvl w:val="2"/>
    </w:pPr>
    <w:rPr>
      <w:b/>
      <w:bCs/>
      <w:sz w:val="32"/>
      <w:szCs w:val="32"/>
    </w:rPr>
  </w:style>
  <w:style w:type="paragraph" w:styleId="5">
    <w:name w:val="heading 4"/>
    <w:basedOn w:val="1"/>
    <w:next w:val="1"/>
    <w:link w:val="84"/>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link w:val="119"/>
    <w:unhideWhenUsed/>
    <w:qFormat/>
    <w:uiPriority w:val="9"/>
    <w:pPr>
      <w:keepNext/>
      <w:keepLines/>
      <w:spacing w:before="280" w:after="290" w:line="376" w:lineRule="auto"/>
      <w:outlineLvl w:val="4"/>
    </w:pPr>
    <w:rPr>
      <w:b/>
      <w:bCs/>
      <w:sz w:val="28"/>
      <w:szCs w:val="28"/>
    </w:rPr>
  </w:style>
  <w:style w:type="paragraph" w:styleId="7">
    <w:name w:val="heading 6"/>
    <w:basedOn w:val="1"/>
    <w:next w:val="1"/>
    <w:link w:val="96"/>
    <w:qFormat/>
    <w:uiPriority w:val="0"/>
    <w:pPr>
      <w:keepNext/>
      <w:keepLines/>
      <w:widowControl/>
      <w:tabs>
        <w:tab w:val="left" w:pos="1440"/>
      </w:tabs>
      <w:spacing w:before="240" w:after="64" w:line="317" w:lineRule="auto"/>
      <w:ind w:left="1152" w:hanging="1152"/>
      <w:jc w:val="left"/>
      <w:outlineLvl w:val="5"/>
    </w:pPr>
    <w:rPr>
      <w:rFonts w:ascii="Arial" w:hAnsi="Arial" w:eastAsia="黑体"/>
      <w:b/>
      <w:bCs/>
      <w:kern w:val="0"/>
      <w:sz w:val="24"/>
    </w:rPr>
  </w:style>
  <w:style w:type="paragraph" w:styleId="8">
    <w:name w:val="heading 7"/>
    <w:basedOn w:val="1"/>
    <w:next w:val="1"/>
    <w:link w:val="97"/>
    <w:qFormat/>
    <w:uiPriority w:val="0"/>
    <w:pPr>
      <w:keepNext/>
      <w:keepLines/>
      <w:widowControl/>
      <w:tabs>
        <w:tab w:val="left" w:pos="2520"/>
      </w:tabs>
      <w:spacing w:before="240" w:after="64" w:line="317" w:lineRule="auto"/>
      <w:ind w:left="1296" w:hanging="1296"/>
      <w:jc w:val="left"/>
      <w:outlineLvl w:val="6"/>
    </w:pPr>
    <w:rPr>
      <w:b/>
      <w:bCs/>
      <w:kern w:val="0"/>
      <w:sz w:val="24"/>
    </w:rPr>
  </w:style>
  <w:style w:type="paragraph" w:styleId="9">
    <w:name w:val="heading 8"/>
    <w:basedOn w:val="1"/>
    <w:next w:val="1"/>
    <w:link w:val="98"/>
    <w:qFormat/>
    <w:uiPriority w:val="0"/>
    <w:pPr>
      <w:keepNext/>
      <w:keepLines/>
      <w:widowControl/>
      <w:tabs>
        <w:tab w:val="left" w:pos="1440"/>
      </w:tabs>
      <w:spacing w:before="240" w:after="64" w:line="317" w:lineRule="auto"/>
      <w:ind w:left="1440" w:hanging="1440"/>
      <w:jc w:val="left"/>
      <w:outlineLvl w:val="7"/>
    </w:pPr>
    <w:rPr>
      <w:rFonts w:ascii="Arial" w:hAnsi="Arial" w:eastAsia="黑体"/>
      <w:kern w:val="0"/>
      <w:sz w:val="24"/>
    </w:rPr>
  </w:style>
  <w:style w:type="paragraph" w:styleId="10">
    <w:name w:val="heading 9"/>
    <w:basedOn w:val="1"/>
    <w:next w:val="1"/>
    <w:link w:val="99"/>
    <w:qFormat/>
    <w:uiPriority w:val="0"/>
    <w:pPr>
      <w:keepNext/>
      <w:keepLines/>
      <w:widowControl/>
      <w:tabs>
        <w:tab w:val="left" w:pos="1584"/>
      </w:tabs>
      <w:spacing w:before="240" w:after="64" w:line="317" w:lineRule="auto"/>
      <w:ind w:left="1584" w:hanging="1584"/>
      <w:jc w:val="left"/>
      <w:outlineLvl w:val="8"/>
    </w:pPr>
    <w:rPr>
      <w:rFonts w:ascii="Arial" w:hAnsi="Arial" w:eastAsia="黑体"/>
      <w:kern w:val="0"/>
      <w:sz w:val="20"/>
      <w:szCs w:val="21"/>
    </w:rPr>
  </w:style>
  <w:style w:type="character" w:default="1" w:styleId="41">
    <w:name w:val="Default Paragraph Font"/>
    <w:semiHidden/>
    <w:unhideWhenUsed/>
    <w:qFormat/>
    <w:uiPriority w:val="1"/>
  </w:style>
  <w:style w:type="table" w:default="1" w:styleId="39">
    <w:name w:val="Normal Table"/>
    <w:semiHidden/>
    <w:unhideWhenUsed/>
    <w:qFormat/>
    <w:uiPriority w:val="99"/>
    <w:tblPr>
      <w:tblLayout w:type="fixed"/>
      <w:tblCellMar>
        <w:top w:w="0" w:type="dxa"/>
        <w:left w:w="108" w:type="dxa"/>
        <w:bottom w:w="0" w:type="dxa"/>
        <w:right w:w="108" w:type="dxa"/>
      </w:tblCellMar>
    </w:tblPr>
  </w:style>
  <w:style w:type="paragraph" w:styleId="11">
    <w:name w:val="toc 7"/>
    <w:basedOn w:val="1"/>
    <w:next w:val="1"/>
    <w:qFormat/>
    <w:uiPriority w:val="39"/>
    <w:pPr>
      <w:ind w:left="2520" w:leftChars="1200"/>
    </w:pPr>
  </w:style>
  <w:style w:type="paragraph" w:styleId="12">
    <w:name w:val="List Number"/>
    <w:basedOn w:val="1"/>
    <w:link w:val="93"/>
    <w:qFormat/>
    <w:uiPriority w:val="0"/>
    <w:pPr>
      <w:numPr>
        <w:ilvl w:val="0"/>
        <w:numId w:val="1"/>
      </w:numPr>
    </w:pPr>
    <w:rPr>
      <w:rFonts w:ascii="Calibri" w:hAnsi="Calibri"/>
      <w:szCs w:val="22"/>
    </w:rPr>
  </w:style>
  <w:style w:type="paragraph" w:styleId="13">
    <w:name w:val="Normal Indent"/>
    <w:basedOn w:val="1"/>
    <w:qFormat/>
    <w:uiPriority w:val="0"/>
    <w:pPr>
      <w:ind w:firstLine="420" w:firstLineChars="200"/>
    </w:pPr>
  </w:style>
  <w:style w:type="paragraph" w:styleId="14">
    <w:name w:val="Document Map"/>
    <w:basedOn w:val="1"/>
    <w:link w:val="85"/>
    <w:qFormat/>
    <w:uiPriority w:val="0"/>
    <w:pPr>
      <w:shd w:val="clear" w:color="auto" w:fill="000080"/>
    </w:pPr>
  </w:style>
  <w:style w:type="paragraph" w:styleId="15">
    <w:name w:val="annotation text"/>
    <w:basedOn w:val="1"/>
    <w:link w:val="117"/>
    <w:unhideWhenUsed/>
    <w:qFormat/>
    <w:uiPriority w:val="0"/>
    <w:pPr>
      <w:jc w:val="left"/>
    </w:pPr>
  </w:style>
  <w:style w:type="paragraph" w:styleId="16">
    <w:name w:val="Body Text 3"/>
    <w:basedOn w:val="1"/>
    <w:link w:val="105"/>
    <w:qFormat/>
    <w:uiPriority w:val="0"/>
    <w:rPr>
      <w:rFonts w:ascii="宋体"/>
      <w:sz w:val="24"/>
      <w:szCs w:val="20"/>
    </w:rPr>
  </w:style>
  <w:style w:type="paragraph" w:styleId="17">
    <w:name w:val="Body Text"/>
    <w:basedOn w:val="1"/>
    <w:link w:val="109"/>
    <w:qFormat/>
    <w:uiPriority w:val="0"/>
    <w:pPr>
      <w:spacing w:after="120"/>
    </w:pPr>
  </w:style>
  <w:style w:type="paragraph" w:styleId="18">
    <w:name w:val="Body Text Indent"/>
    <w:basedOn w:val="1"/>
    <w:link w:val="80"/>
    <w:qFormat/>
    <w:uiPriority w:val="0"/>
    <w:pPr>
      <w:ind w:firstLine="4320" w:firstLineChars="900"/>
    </w:pPr>
    <w:rPr>
      <w:sz w:val="48"/>
    </w:rPr>
  </w:style>
  <w:style w:type="paragraph" w:styleId="19">
    <w:name w:val="toc 5"/>
    <w:basedOn w:val="1"/>
    <w:next w:val="1"/>
    <w:qFormat/>
    <w:uiPriority w:val="39"/>
    <w:pPr>
      <w:ind w:left="1680" w:leftChars="800"/>
    </w:pPr>
  </w:style>
  <w:style w:type="paragraph" w:styleId="20">
    <w:name w:val="toc 3"/>
    <w:basedOn w:val="1"/>
    <w:next w:val="1"/>
    <w:qFormat/>
    <w:uiPriority w:val="39"/>
    <w:pPr>
      <w:ind w:left="840" w:leftChars="400"/>
    </w:pPr>
  </w:style>
  <w:style w:type="paragraph" w:styleId="21">
    <w:name w:val="Plain Text"/>
    <w:basedOn w:val="1"/>
    <w:link w:val="86"/>
    <w:qFormat/>
    <w:uiPriority w:val="0"/>
    <w:pPr>
      <w:ind w:firstLine="200" w:firstLineChars="200"/>
    </w:pPr>
    <w:rPr>
      <w:rFonts w:ascii="宋体" w:hAnsi="Courier New" w:eastAsia="仿宋_GB2312" w:cs="Courier New"/>
      <w:szCs w:val="21"/>
    </w:rPr>
  </w:style>
  <w:style w:type="paragraph" w:styleId="22">
    <w:name w:val="toc 8"/>
    <w:basedOn w:val="1"/>
    <w:next w:val="1"/>
    <w:qFormat/>
    <w:uiPriority w:val="0"/>
    <w:pPr>
      <w:ind w:left="2940" w:leftChars="1400"/>
    </w:pPr>
  </w:style>
  <w:style w:type="paragraph" w:styleId="23">
    <w:name w:val="Date"/>
    <w:basedOn w:val="1"/>
    <w:next w:val="1"/>
    <w:link w:val="87"/>
    <w:qFormat/>
    <w:uiPriority w:val="0"/>
    <w:pPr>
      <w:ind w:left="100" w:leftChars="2500"/>
    </w:pPr>
  </w:style>
  <w:style w:type="paragraph" w:styleId="24">
    <w:name w:val="Body Text Indent 2"/>
    <w:basedOn w:val="1"/>
    <w:link w:val="123"/>
    <w:qFormat/>
    <w:uiPriority w:val="0"/>
    <w:pPr>
      <w:spacing w:after="120" w:line="480" w:lineRule="auto"/>
      <w:ind w:left="420" w:leftChars="200"/>
    </w:pPr>
    <w:rPr>
      <w:rFonts w:eastAsia="仿宋_GB2312"/>
    </w:rPr>
  </w:style>
  <w:style w:type="paragraph" w:styleId="25">
    <w:name w:val="Balloon Text"/>
    <w:basedOn w:val="1"/>
    <w:link w:val="90"/>
    <w:qFormat/>
    <w:uiPriority w:val="0"/>
    <w:rPr>
      <w:rFonts w:ascii="Calibri" w:hAnsi="Calibri"/>
      <w:sz w:val="18"/>
      <w:szCs w:val="18"/>
    </w:rPr>
  </w:style>
  <w:style w:type="paragraph" w:styleId="26">
    <w:name w:val="footer"/>
    <w:basedOn w:val="1"/>
    <w:link w:val="79"/>
    <w:unhideWhenUsed/>
    <w:qFormat/>
    <w:uiPriority w:val="0"/>
    <w:pPr>
      <w:tabs>
        <w:tab w:val="center" w:pos="4153"/>
        <w:tab w:val="right" w:pos="8306"/>
      </w:tabs>
      <w:snapToGrid w:val="0"/>
      <w:jc w:val="left"/>
    </w:pPr>
    <w:rPr>
      <w:rFonts w:ascii="Calibri" w:hAnsi="Calibri" w:cs="黑体"/>
      <w:sz w:val="18"/>
      <w:szCs w:val="18"/>
    </w:rPr>
  </w:style>
  <w:style w:type="paragraph" w:styleId="27">
    <w:name w:val="header"/>
    <w:basedOn w:val="1"/>
    <w:link w:val="78"/>
    <w:unhideWhenUsed/>
    <w:qFormat/>
    <w:uiPriority w:val="0"/>
    <w:pPr>
      <w:pBdr>
        <w:bottom w:val="single" w:color="auto" w:sz="6" w:space="1"/>
      </w:pBdr>
      <w:tabs>
        <w:tab w:val="center" w:pos="4153"/>
        <w:tab w:val="right" w:pos="8306"/>
      </w:tabs>
      <w:snapToGrid w:val="0"/>
      <w:jc w:val="center"/>
    </w:pPr>
    <w:rPr>
      <w:rFonts w:ascii="Calibri" w:hAnsi="Calibri" w:cs="黑体"/>
      <w:sz w:val="18"/>
      <w:szCs w:val="18"/>
    </w:rPr>
  </w:style>
  <w:style w:type="paragraph" w:styleId="28">
    <w:name w:val="toc 1"/>
    <w:basedOn w:val="1"/>
    <w:next w:val="1"/>
    <w:qFormat/>
    <w:uiPriority w:val="39"/>
  </w:style>
  <w:style w:type="paragraph" w:styleId="29">
    <w:name w:val="toc 4"/>
    <w:basedOn w:val="1"/>
    <w:next w:val="1"/>
    <w:qFormat/>
    <w:uiPriority w:val="39"/>
    <w:pPr>
      <w:ind w:left="1260" w:leftChars="600"/>
    </w:pPr>
  </w:style>
  <w:style w:type="paragraph" w:styleId="30">
    <w:name w:val="List"/>
    <w:basedOn w:val="1"/>
    <w:qFormat/>
    <w:uiPriority w:val="0"/>
    <w:pPr>
      <w:autoSpaceDE w:val="0"/>
      <w:autoSpaceDN w:val="0"/>
      <w:adjustRightInd w:val="0"/>
      <w:ind w:left="360" w:hanging="360"/>
      <w:jc w:val="left"/>
      <w:textAlignment w:val="baseline"/>
    </w:pPr>
    <w:rPr>
      <w:kern w:val="0"/>
      <w:sz w:val="20"/>
      <w:szCs w:val="20"/>
    </w:rPr>
  </w:style>
  <w:style w:type="paragraph" w:styleId="31">
    <w:name w:val="toc 6"/>
    <w:basedOn w:val="1"/>
    <w:next w:val="1"/>
    <w:qFormat/>
    <w:uiPriority w:val="39"/>
    <w:pPr>
      <w:ind w:left="2100" w:leftChars="1000"/>
    </w:pPr>
  </w:style>
  <w:style w:type="paragraph" w:styleId="32">
    <w:name w:val="Body Text Indent 3"/>
    <w:basedOn w:val="1"/>
    <w:link w:val="108"/>
    <w:qFormat/>
    <w:uiPriority w:val="0"/>
    <w:pPr>
      <w:spacing w:after="120"/>
      <w:ind w:left="420" w:leftChars="200"/>
    </w:pPr>
    <w:rPr>
      <w:sz w:val="16"/>
      <w:szCs w:val="16"/>
    </w:rPr>
  </w:style>
  <w:style w:type="paragraph" w:styleId="33">
    <w:name w:val="toc 2"/>
    <w:basedOn w:val="1"/>
    <w:next w:val="1"/>
    <w:qFormat/>
    <w:uiPriority w:val="39"/>
    <w:pPr>
      <w:ind w:left="420" w:leftChars="200"/>
    </w:pPr>
  </w:style>
  <w:style w:type="paragraph" w:styleId="34">
    <w:name w:val="toc 9"/>
    <w:basedOn w:val="1"/>
    <w:next w:val="1"/>
    <w:qFormat/>
    <w:uiPriority w:val="0"/>
    <w:pPr>
      <w:ind w:left="3360" w:leftChars="1600"/>
    </w:pPr>
  </w:style>
  <w:style w:type="paragraph" w:styleId="35">
    <w:name w:val="Normal (Web)"/>
    <w:basedOn w:val="1"/>
    <w:qFormat/>
    <w:uiPriority w:val="0"/>
    <w:pPr>
      <w:widowControl/>
      <w:spacing w:before="100" w:beforeAutospacing="1" w:after="100" w:afterAutospacing="1"/>
      <w:jc w:val="left"/>
    </w:pPr>
    <w:rPr>
      <w:rFonts w:ascii="Arial Unicode MS" w:hAnsi="Arial Unicode MS" w:eastAsia="Arial Unicode MS" w:cs="Arial Unicode MS"/>
      <w:kern w:val="0"/>
      <w:sz w:val="24"/>
    </w:rPr>
  </w:style>
  <w:style w:type="paragraph" w:styleId="36">
    <w:name w:val="index 1"/>
    <w:basedOn w:val="1"/>
    <w:next w:val="1"/>
    <w:qFormat/>
    <w:uiPriority w:val="0"/>
    <w:pPr>
      <w:spacing w:line="220" w:lineRule="exact"/>
      <w:jc w:val="center"/>
    </w:pPr>
    <w:rPr>
      <w:rFonts w:ascii="仿宋_GB2312" w:eastAsia="仿宋_GB2312"/>
      <w:szCs w:val="21"/>
    </w:rPr>
  </w:style>
  <w:style w:type="paragraph" w:styleId="37">
    <w:name w:val="Title"/>
    <w:basedOn w:val="1"/>
    <w:link w:val="112"/>
    <w:qFormat/>
    <w:uiPriority w:val="0"/>
    <w:pPr>
      <w:adjustRightInd w:val="0"/>
      <w:spacing w:before="240" w:after="60" w:line="420" w:lineRule="atLeast"/>
      <w:jc w:val="center"/>
      <w:textAlignment w:val="baseline"/>
      <w:outlineLvl w:val="0"/>
    </w:pPr>
    <w:rPr>
      <w:rFonts w:ascii="Arial" w:hAnsi="Arial"/>
      <w:b/>
      <w:kern w:val="0"/>
      <w:sz w:val="32"/>
      <w:szCs w:val="20"/>
    </w:rPr>
  </w:style>
  <w:style w:type="paragraph" w:styleId="38">
    <w:name w:val="annotation subject"/>
    <w:basedOn w:val="15"/>
    <w:next w:val="15"/>
    <w:link w:val="102"/>
    <w:qFormat/>
    <w:uiPriority w:val="0"/>
    <w:rPr>
      <w:b/>
      <w:bCs/>
    </w:rPr>
  </w:style>
  <w:style w:type="table" w:styleId="40">
    <w:name w:val="Table Grid"/>
    <w:basedOn w:val="39"/>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style>
  <w:style w:type="character" w:styleId="42">
    <w:name w:val="Strong"/>
    <w:basedOn w:val="41"/>
    <w:qFormat/>
    <w:uiPriority w:val="0"/>
    <w:rPr>
      <w:b/>
    </w:rPr>
  </w:style>
  <w:style w:type="character" w:styleId="43">
    <w:name w:val="page number"/>
    <w:basedOn w:val="41"/>
    <w:qFormat/>
    <w:uiPriority w:val="0"/>
  </w:style>
  <w:style w:type="character" w:styleId="44">
    <w:name w:val="FollowedHyperlink"/>
    <w:qFormat/>
    <w:uiPriority w:val="0"/>
    <w:rPr>
      <w:color w:val="800080"/>
      <w:u w:val="single"/>
    </w:rPr>
  </w:style>
  <w:style w:type="character" w:styleId="45">
    <w:name w:val="Emphasis"/>
    <w:basedOn w:val="41"/>
    <w:qFormat/>
    <w:uiPriority w:val="20"/>
    <w:rPr>
      <w:i/>
      <w:iCs/>
    </w:rPr>
  </w:style>
  <w:style w:type="character" w:styleId="46">
    <w:name w:val="Hyperlink"/>
    <w:basedOn w:val="41"/>
    <w:unhideWhenUsed/>
    <w:qFormat/>
    <w:uiPriority w:val="0"/>
    <w:rPr>
      <w:color w:val="0000FF"/>
      <w:u w:val="single"/>
    </w:rPr>
  </w:style>
  <w:style w:type="character" w:styleId="47">
    <w:name w:val="annotation reference"/>
    <w:qFormat/>
    <w:uiPriority w:val="0"/>
    <w:rPr>
      <w:sz w:val="21"/>
      <w:szCs w:val="21"/>
    </w:rPr>
  </w:style>
  <w:style w:type="paragraph" w:customStyle="1" w:styleId="48">
    <w:name w:val="列出段落1"/>
    <w:basedOn w:val="1"/>
    <w:qFormat/>
    <w:uiPriority w:val="34"/>
    <w:pPr>
      <w:ind w:firstLine="420" w:firstLineChars="200"/>
    </w:pPr>
  </w:style>
  <w:style w:type="paragraph" w:customStyle="1" w:styleId="49">
    <w:name w:val="样式 标题 2 + Times New Roman 四号 非加粗 段前: 5 磅 段后: 0 磅 行距: 固定值 20..."/>
    <w:basedOn w:val="3"/>
    <w:qFormat/>
    <w:uiPriority w:val="0"/>
    <w:pPr>
      <w:spacing w:before="100" w:after="0" w:line="400" w:lineRule="exact"/>
    </w:pPr>
    <w:rPr>
      <w:rFonts w:ascii="Times New Roman" w:hAnsi="Times New Roman" w:cs="宋体"/>
      <w:b w:val="0"/>
      <w:bCs w:val="0"/>
      <w:sz w:val="28"/>
      <w:szCs w:val="20"/>
    </w:rPr>
  </w:style>
  <w:style w:type="paragraph" w:customStyle="1" w:styleId="50">
    <w:name w:val="样式 标题 3 + (中文) 黑体 小四 非加粗 段前: 7.8 磅 段后: 0 磅 行距: 固定值 20 磅"/>
    <w:basedOn w:val="4"/>
    <w:qFormat/>
    <w:uiPriority w:val="0"/>
    <w:pPr>
      <w:spacing w:before="0" w:after="0" w:line="400" w:lineRule="exact"/>
    </w:pPr>
    <w:rPr>
      <w:rFonts w:eastAsia="黑体" w:cs="宋体"/>
      <w:b w:val="0"/>
      <w:bCs w:val="0"/>
      <w:sz w:val="24"/>
      <w:szCs w:val="20"/>
    </w:rPr>
  </w:style>
  <w:style w:type="paragraph" w:customStyle="1" w:styleId="51">
    <w:name w:val="样式1"/>
    <w:basedOn w:val="2"/>
    <w:qFormat/>
    <w:uiPriority w:val="0"/>
    <w:pPr>
      <w:ind w:left="420" w:hanging="420"/>
    </w:pPr>
    <w:rPr>
      <w:sz w:val="32"/>
    </w:rPr>
  </w:style>
  <w:style w:type="paragraph" w:customStyle="1" w:styleId="52">
    <w:name w:val="样式2"/>
    <w:basedOn w:val="2"/>
    <w:next w:val="2"/>
    <w:qFormat/>
    <w:uiPriority w:val="0"/>
    <w:pPr>
      <w:numPr>
        <w:ilvl w:val="0"/>
        <w:numId w:val="2"/>
      </w:numPr>
    </w:pPr>
    <w:rPr>
      <w:sz w:val="30"/>
    </w:rPr>
  </w:style>
  <w:style w:type="paragraph" w:customStyle="1" w:styleId="53">
    <w:name w:val="pa-0"/>
    <w:basedOn w:val="1"/>
    <w:qFormat/>
    <w:uiPriority w:val="0"/>
    <w:pPr>
      <w:widowControl/>
      <w:spacing w:line="360" w:lineRule="atLeast"/>
      <w:jc w:val="center"/>
    </w:pPr>
    <w:rPr>
      <w:rFonts w:ascii="宋体" w:hAnsi="宋体" w:cs="宋体"/>
      <w:kern w:val="0"/>
      <w:sz w:val="24"/>
    </w:rPr>
  </w:style>
  <w:style w:type="paragraph" w:customStyle="1" w:styleId="54">
    <w:name w:val="普通(Web)"/>
    <w:basedOn w:val="1"/>
    <w:qFormat/>
    <w:uiPriority w:val="0"/>
    <w:pPr>
      <w:widowControl/>
      <w:spacing w:before="100" w:beforeAutospacing="1" w:after="100" w:afterAutospacing="1"/>
      <w:jc w:val="left"/>
    </w:pPr>
    <w:rPr>
      <w:rFonts w:ascii="宋体" w:hAnsi="宋体"/>
      <w:kern w:val="0"/>
      <w:sz w:val="24"/>
    </w:rPr>
  </w:style>
  <w:style w:type="paragraph" w:customStyle="1" w:styleId="55">
    <w:name w:val="节"/>
    <w:basedOn w:val="3"/>
    <w:qFormat/>
    <w:uiPriority w:val="0"/>
    <w:pPr>
      <w:numPr>
        <w:ilvl w:val="1"/>
        <w:numId w:val="3"/>
      </w:numPr>
      <w:tabs>
        <w:tab w:val="left" w:pos="576"/>
      </w:tabs>
      <w:spacing w:line="240" w:lineRule="auto"/>
    </w:pPr>
    <w:rPr>
      <w:rFonts w:ascii="黑体"/>
      <w:b w:val="0"/>
      <w:kern w:val="0"/>
      <w:sz w:val="28"/>
      <w:szCs w:val="28"/>
    </w:rPr>
  </w:style>
  <w:style w:type="paragraph" w:customStyle="1" w:styleId="56">
    <w:name w:val="Char1"/>
    <w:basedOn w:val="14"/>
    <w:qFormat/>
    <w:uiPriority w:val="0"/>
    <w:pPr>
      <w:adjustRightInd w:val="0"/>
      <w:spacing w:line="436" w:lineRule="exact"/>
      <w:ind w:left="357"/>
      <w:jc w:val="left"/>
      <w:outlineLvl w:val="3"/>
    </w:pPr>
    <w:rPr>
      <w:rFonts w:ascii="Tahoma" w:hAnsi="Tahoma"/>
      <w:b/>
      <w:kern w:val="0"/>
      <w:sz w:val="24"/>
      <w:shd w:val="clear" w:color="auto" w:fill="000080"/>
    </w:rPr>
  </w:style>
  <w:style w:type="paragraph" w:customStyle="1" w:styleId="57">
    <w:name w:val="Char Char Char1 Char"/>
    <w:basedOn w:val="1"/>
    <w:qFormat/>
    <w:uiPriority w:val="0"/>
    <w:pPr>
      <w:widowControl/>
      <w:jc w:val="left"/>
    </w:pPr>
    <w:rPr>
      <w:rFonts w:ascii="宋体" w:hAnsi="宋体" w:cs="宋体"/>
      <w:color w:val="000000"/>
      <w:kern w:val="0"/>
      <w:sz w:val="24"/>
      <w:szCs w:val="20"/>
    </w:rPr>
  </w:style>
  <w:style w:type="paragraph" w:customStyle="1" w:styleId="58">
    <w:name w:val="1"/>
    <w:basedOn w:val="1"/>
    <w:qFormat/>
    <w:uiPriority w:val="0"/>
  </w:style>
  <w:style w:type="paragraph" w:customStyle="1" w:styleId="59">
    <w:name w:val="修订1"/>
    <w:qFormat/>
    <w:uiPriority w:val="0"/>
    <w:rPr>
      <w:rFonts w:ascii="Times New Roman" w:hAnsi="Times New Roman" w:eastAsia="宋体" w:cs="Times New Roman"/>
      <w:kern w:val="2"/>
      <w:sz w:val="21"/>
      <w:szCs w:val="24"/>
      <w:lang w:val="en-US" w:eastAsia="zh-CN" w:bidi="ar-SA"/>
    </w:rPr>
  </w:style>
  <w:style w:type="paragraph" w:customStyle="1" w:styleId="60">
    <w:name w:val="表格"/>
    <w:basedOn w:val="1"/>
    <w:qFormat/>
    <w:uiPriority w:val="0"/>
    <w:pPr>
      <w:jc w:val="center"/>
      <w:textAlignment w:val="center"/>
    </w:pPr>
    <w:rPr>
      <w:rFonts w:ascii="华文细黑" w:hAnsi="华文细黑"/>
      <w:kern w:val="0"/>
      <w:szCs w:val="20"/>
    </w:rPr>
  </w:style>
  <w:style w:type="paragraph" w:customStyle="1" w:styleId="61">
    <w:name w:val="样式 WG标题2 + 行距: 固定值 18 磅"/>
    <w:basedOn w:val="1"/>
    <w:qFormat/>
    <w:uiPriority w:val="0"/>
    <w:pPr>
      <w:autoSpaceDE w:val="0"/>
      <w:autoSpaceDN w:val="0"/>
      <w:adjustRightInd w:val="0"/>
      <w:spacing w:line="360" w:lineRule="exact"/>
      <w:textAlignment w:val="baseline"/>
      <w:outlineLvl w:val="1"/>
    </w:pPr>
    <w:rPr>
      <w:rFonts w:ascii="仿宋_GB2312" w:hAnsi="宋体" w:cs="宋体"/>
      <w:b/>
      <w:bCs/>
      <w:color w:val="000000"/>
      <w:kern w:val="20"/>
      <w:sz w:val="24"/>
      <w:szCs w:val="20"/>
    </w:rPr>
  </w:style>
  <w:style w:type="paragraph" w:customStyle="1" w:styleId="62">
    <w:name w:val="文字正文"/>
    <w:basedOn w:val="1"/>
    <w:link w:val="111"/>
    <w:qFormat/>
    <w:uiPriority w:val="0"/>
    <w:pPr>
      <w:tabs>
        <w:tab w:val="right" w:leader="dot" w:pos="8925"/>
        <w:tab w:val="right" w:leader="dot" w:pos="9030"/>
      </w:tabs>
      <w:ind w:firstLine="200" w:firstLineChars="200"/>
    </w:pPr>
    <w:rPr>
      <w:rFonts w:ascii="宋体" w:hAnsi="宋体" w:cs="宋体"/>
      <w:sz w:val="24"/>
    </w:rPr>
  </w:style>
  <w:style w:type="paragraph" w:customStyle="1" w:styleId="63">
    <w:name w:val="Char Char Char Char Char Char"/>
    <w:basedOn w:val="14"/>
    <w:qFormat/>
    <w:uiPriority w:val="0"/>
    <w:pPr>
      <w:adjustRightInd w:val="0"/>
      <w:spacing w:line="436" w:lineRule="exact"/>
      <w:ind w:left="357"/>
      <w:jc w:val="left"/>
      <w:outlineLvl w:val="3"/>
    </w:pPr>
    <w:rPr>
      <w:rFonts w:ascii="Tahoma" w:hAnsi="Tahoma"/>
      <w:b/>
      <w:kern w:val="0"/>
      <w:sz w:val="24"/>
      <w:shd w:val="clear" w:color="auto" w:fill="000080"/>
    </w:rPr>
  </w:style>
  <w:style w:type="paragraph" w:customStyle="1" w:styleId="64">
    <w:name w:val="Char Char Char1 Char1"/>
    <w:basedOn w:val="1"/>
    <w:qFormat/>
    <w:uiPriority w:val="0"/>
    <w:pPr>
      <w:widowControl/>
      <w:jc w:val="left"/>
    </w:pPr>
    <w:rPr>
      <w:rFonts w:ascii="宋体" w:hAnsi="宋体" w:cs="宋体"/>
      <w:color w:val="000000"/>
      <w:kern w:val="0"/>
      <w:sz w:val="24"/>
      <w:szCs w:val="20"/>
    </w:rPr>
  </w:style>
  <w:style w:type="paragraph" w:customStyle="1" w:styleId="65">
    <w:name w:val="表格文字"/>
    <w:basedOn w:val="1"/>
    <w:qFormat/>
    <w:uiPriority w:val="0"/>
    <w:pPr>
      <w:adjustRightInd w:val="0"/>
      <w:spacing w:line="420" w:lineRule="atLeast"/>
      <w:jc w:val="left"/>
      <w:textAlignment w:val="baseline"/>
    </w:pPr>
    <w:rPr>
      <w:kern w:val="0"/>
      <w:szCs w:val="20"/>
    </w:rPr>
  </w:style>
  <w:style w:type="paragraph" w:customStyle="1" w:styleId="66">
    <w:name w:val="pa-2"/>
    <w:basedOn w:val="1"/>
    <w:qFormat/>
    <w:uiPriority w:val="0"/>
    <w:pPr>
      <w:widowControl/>
      <w:spacing w:line="280" w:lineRule="atLeast"/>
      <w:ind w:firstLine="200"/>
      <w:jc w:val="center"/>
    </w:pPr>
    <w:rPr>
      <w:rFonts w:ascii="宋体" w:hAnsi="宋体" w:cs="宋体"/>
      <w:kern w:val="0"/>
      <w:sz w:val="24"/>
    </w:rPr>
  </w:style>
  <w:style w:type="paragraph" w:customStyle="1" w:styleId="67">
    <w:name w:val="pa-3"/>
    <w:basedOn w:val="1"/>
    <w:qFormat/>
    <w:uiPriority w:val="0"/>
    <w:pPr>
      <w:widowControl/>
      <w:spacing w:line="280" w:lineRule="atLeast"/>
      <w:jc w:val="center"/>
    </w:pPr>
    <w:rPr>
      <w:rFonts w:ascii="宋体" w:hAnsi="宋体" w:cs="宋体"/>
      <w:kern w:val="0"/>
      <w:sz w:val="24"/>
    </w:rPr>
  </w:style>
  <w:style w:type="paragraph" w:customStyle="1" w:styleId="68">
    <w:name w:val="样式 标题 1 + 黑体 三号 非加粗 居中 段前: 6 磅 段后: 6 磅 行距: 固定值 20 磅"/>
    <w:basedOn w:val="2"/>
    <w:qFormat/>
    <w:uiPriority w:val="0"/>
    <w:pPr>
      <w:spacing w:before="120" w:after="120" w:line="400" w:lineRule="exact"/>
      <w:jc w:val="center"/>
    </w:pPr>
    <w:rPr>
      <w:rFonts w:ascii="黑体" w:hAnsi="黑体" w:eastAsia="黑体" w:cs="宋体"/>
      <w:b w:val="0"/>
      <w:bCs w:val="0"/>
      <w:sz w:val="32"/>
      <w:szCs w:val="20"/>
    </w:rPr>
  </w:style>
  <w:style w:type="paragraph" w:customStyle="1" w:styleId="69">
    <w:name w:val="CM6"/>
    <w:basedOn w:val="1"/>
    <w:next w:val="1"/>
    <w:qFormat/>
    <w:uiPriority w:val="0"/>
    <w:pPr>
      <w:autoSpaceDE w:val="0"/>
      <w:autoSpaceDN w:val="0"/>
      <w:adjustRightInd w:val="0"/>
      <w:spacing w:line="626" w:lineRule="atLeast"/>
      <w:jc w:val="left"/>
    </w:pPr>
    <w:rPr>
      <w:rFonts w:ascii="宋体" w:cs="宋体"/>
      <w:kern w:val="0"/>
      <w:sz w:val="24"/>
    </w:rPr>
  </w:style>
  <w:style w:type="paragraph" w:customStyle="1" w:styleId="70">
    <w:name w:val="自定义正文"/>
    <w:basedOn w:val="30"/>
    <w:qFormat/>
    <w:uiPriority w:val="0"/>
    <w:pPr>
      <w:widowControl/>
      <w:spacing w:line="520" w:lineRule="exact"/>
      <w:ind w:left="0" w:firstLine="200" w:firstLineChars="200"/>
      <w:jc w:val="both"/>
    </w:pPr>
    <w:rPr>
      <w:rFonts w:ascii="仿宋_GB2312" w:hAnsi="宋体" w:eastAsia="仿宋_GB2312"/>
      <w:b/>
      <w:bCs/>
      <w:kern w:val="20"/>
      <w:sz w:val="28"/>
      <w:szCs w:val="32"/>
    </w:rPr>
  </w:style>
  <w:style w:type="paragraph" w:customStyle="1" w:styleId="71">
    <w:name w:val="_Style 52"/>
    <w:next w:val="1"/>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72">
    <w:name w:val="444444444444444444444444444444"/>
    <w:basedOn w:val="1"/>
    <w:qFormat/>
    <w:uiPriority w:val="0"/>
    <w:pPr>
      <w:snapToGrid w:val="0"/>
      <w:spacing w:line="480" w:lineRule="exact"/>
      <w:ind w:firstLine="700" w:firstLineChars="200"/>
    </w:pPr>
    <w:rPr>
      <w:rFonts w:ascii="宋体" w:hAnsi="宋体"/>
      <w:snapToGrid w:val="0"/>
      <w:color w:val="000000"/>
      <w:kern w:val="28"/>
      <w:sz w:val="28"/>
      <w:szCs w:val="20"/>
    </w:rPr>
  </w:style>
  <w:style w:type="paragraph" w:customStyle="1" w:styleId="73">
    <w:name w:val="6'"/>
    <w:basedOn w:val="1"/>
    <w:qFormat/>
    <w:uiPriority w:val="0"/>
    <w:pPr>
      <w:autoSpaceDE w:val="0"/>
      <w:autoSpaceDN w:val="0"/>
      <w:adjustRightInd w:val="0"/>
      <w:snapToGrid w:val="0"/>
      <w:spacing w:line="320" w:lineRule="exact"/>
      <w:jc w:val="center"/>
      <w:textAlignment w:val="baseline"/>
    </w:pPr>
    <w:rPr>
      <w:spacing w:val="20"/>
      <w:kern w:val="28"/>
      <w:szCs w:val="20"/>
    </w:rPr>
  </w:style>
  <w:style w:type="paragraph" w:customStyle="1" w:styleId="74">
    <w:name w:val="Pa11"/>
    <w:basedOn w:val="1"/>
    <w:next w:val="1"/>
    <w:qFormat/>
    <w:uiPriority w:val="0"/>
    <w:pPr>
      <w:autoSpaceDE w:val="0"/>
      <w:autoSpaceDN w:val="0"/>
      <w:adjustRightInd w:val="0"/>
      <w:spacing w:line="240" w:lineRule="atLeast"/>
      <w:jc w:val="left"/>
    </w:pPr>
    <w:rPr>
      <w:rFonts w:ascii="黑体.." w:eastAsia="黑体.."/>
      <w:kern w:val="0"/>
      <w:sz w:val="24"/>
    </w:rPr>
  </w:style>
  <w:style w:type="paragraph" w:customStyle="1" w:styleId="75">
    <w:name w:val="页眉1"/>
    <w:basedOn w:val="1"/>
    <w:qFormat/>
    <w:uiPriority w:val="0"/>
    <w:pPr>
      <w:pBdr>
        <w:bottom w:val="single" w:color="auto" w:sz="6" w:space="1"/>
      </w:pBdr>
      <w:tabs>
        <w:tab w:val="center" w:pos="4153"/>
        <w:tab w:val="right" w:pos="8306"/>
      </w:tabs>
      <w:snapToGrid w:val="0"/>
      <w:jc w:val="center"/>
    </w:pPr>
    <w:rPr>
      <w:sz w:val="18"/>
      <w:szCs w:val="18"/>
    </w:rPr>
  </w:style>
  <w:style w:type="paragraph" w:customStyle="1" w:styleId="76">
    <w:name w:val="纯文本1"/>
    <w:basedOn w:val="1"/>
    <w:qFormat/>
    <w:uiPriority w:val="0"/>
    <w:pPr>
      <w:ind w:firstLine="200" w:firstLineChars="200"/>
    </w:pPr>
    <w:rPr>
      <w:rFonts w:ascii="宋体" w:hAnsi="Courier New" w:eastAsia="仿宋_GB2312" w:cs="Courier New"/>
      <w:szCs w:val="21"/>
    </w:rPr>
  </w:style>
  <w:style w:type="paragraph" w:customStyle="1" w:styleId="77">
    <w:name w:val="列出段落11"/>
    <w:basedOn w:val="1"/>
    <w:qFormat/>
    <w:uiPriority w:val="0"/>
    <w:pPr>
      <w:ind w:firstLine="420" w:firstLineChars="200"/>
    </w:pPr>
  </w:style>
  <w:style w:type="character" w:customStyle="1" w:styleId="78">
    <w:name w:val="页眉 Char"/>
    <w:basedOn w:val="41"/>
    <w:link w:val="27"/>
    <w:qFormat/>
    <w:uiPriority w:val="0"/>
    <w:rPr>
      <w:sz w:val="18"/>
      <w:szCs w:val="18"/>
    </w:rPr>
  </w:style>
  <w:style w:type="character" w:customStyle="1" w:styleId="79">
    <w:name w:val="页脚 Char"/>
    <w:basedOn w:val="41"/>
    <w:link w:val="26"/>
    <w:qFormat/>
    <w:uiPriority w:val="0"/>
    <w:rPr>
      <w:sz w:val="18"/>
      <w:szCs w:val="18"/>
    </w:rPr>
  </w:style>
  <w:style w:type="character" w:customStyle="1" w:styleId="80">
    <w:name w:val="正文文本缩进 Char"/>
    <w:basedOn w:val="41"/>
    <w:link w:val="18"/>
    <w:qFormat/>
    <w:uiPriority w:val="0"/>
    <w:rPr>
      <w:rFonts w:ascii="Times New Roman" w:hAnsi="Times New Roman" w:eastAsia="宋体" w:cs="Times New Roman"/>
      <w:sz w:val="48"/>
      <w:szCs w:val="24"/>
    </w:rPr>
  </w:style>
  <w:style w:type="character" w:customStyle="1" w:styleId="81">
    <w:name w:val="标题 1 Char"/>
    <w:basedOn w:val="41"/>
    <w:link w:val="2"/>
    <w:qFormat/>
    <w:uiPriority w:val="0"/>
    <w:rPr>
      <w:rFonts w:ascii="Times New Roman" w:hAnsi="Times New Roman" w:eastAsia="宋体" w:cs="Times New Roman"/>
      <w:b/>
      <w:bCs/>
      <w:kern w:val="44"/>
      <w:sz w:val="44"/>
      <w:szCs w:val="44"/>
    </w:rPr>
  </w:style>
  <w:style w:type="character" w:customStyle="1" w:styleId="82">
    <w:name w:val="标题 2 Char"/>
    <w:basedOn w:val="41"/>
    <w:link w:val="3"/>
    <w:qFormat/>
    <w:uiPriority w:val="0"/>
    <w:rPr>
      <w:rFonts w:ascii="Arial" w:hAnsi="Arial" w:eastAsia="黑体" w:cs="Times New Roman"/>
      <w:b/>
      <w:bCs/>
      <w:sz w:val="32"/>
      <w:szCs w:val="32"/>
    </w:rPr>
  </w:style>
  <w:style w:type="character" w:customStyle="1" w:styleId="83">
    <w:name w:val="标题 3 Char"/>
    <w:basedOn w:val="41"/>
    <w:link w:val="4"/>
    <w:qFormat/>
    <w:uiPriority w:val="0"/>
    <w:rPr>
      <w:rFonts w:ascii="Times New Roman" w:hAnsi="Times New Roman" w:eastAsia="宋体" w:cs="Times New Roman"/>
      <w:b/>
      <w:bCs/>
      <w:sz w:val="32"/>
      <w:szCs w:val="32"/>
    </w:rPr>
  </w:style>
  <w:style w:type="character" w:customStyle="1" w:styleId="84">
    <w:name w:val="标题 4 Char"/>
    <w:basedOn w:val="41"/>
    <w:link w:val="5"/>
    <w:qFormat/>
    <w:uiPriority w:val="0"/>
    <w:rPr>
      <w:rFonts w:ascii="Arial" w:hAnsi="Arial" w:eastAsia="黑体" w:cs="Times New Roman"/>
      <w:b/>
      <w:bCs/>
      <w:sz w:val="28"/>
      <w:szCs w:val="28"/>
    </w:rPr>
  </w:style>
  <w:style w:type="character" w:customStyle="1" w:styleId="85">
    <w:name w:val="文档结构图 Char"/>
    <w:basedOn w:val="41"/>
    <w:link w:val="14"/>
    <w:qFormat/>
    <w:uiPriority w:val="0"/>
    <w:rPr>
      <w:rFonts w:ascii="Times New Roman" w:hAnsi="Times New Roman" w:eastAsia="宋体" w:cs="Times New Roman"/>
      <w:szCs w:val="24"/>
      <w:shd w:val="clear" w:color="auto" w:fill="000080"/>
    </w:rPr>
  </w:style>
  <w:style w:type="character" w:customStyle="1" w:styleId="86">
    <w:name w:val="纯文本 Char"/>
    <w:basedOn w:val="41"/>
    <w:link w:val="21"/>
    <w:qFormat/>
    <w:uiPriority w:val="0"/>
    <w:rPr>
      <w:rFonts w:ascii="宋体" w:hAnsi="Courier New" w:eastAsia="仿宋_GB2312" w:cs="Courier New"/>
      <w:szCs w:val="21"/>
    </w:rPr>
  </w:style>
  <w:style w:type="character" w:customStyle="1" w:styleId="87">
    <w:name w:val="日期 Char"/>
    <w:basedOn w:val="41"/>
    <w:link w:val="23"/>
    <w:qFormat/>
    <w:uiPriority w:val="0"/>
    <w:rPr>
      <w:rFonts w:ascii="Times New Roman" w:hAnsi="Times New Roman" w:eastAsia="宋体" w:cs="Times New Roman"/>
      <w:szCs w:val="24"/>
    </w:rPr>
  </w:style>
  <w:style w:type="character" w:customStyle="1" w:styleId="88">
    <w:name w:val="Char Char1"/>
    <w:basedOn w:val="41"/>
    <w:qFormat/>
    <w:locked/>
    <w:uiPriority w:val="0"/>
    <w:rPr>
      <w:rFonts w:ascii="宋体" w:hAnsi="Courier New" w:eastAsia="仿宋_GB2312" w:cs="Courier New"/>
      <w:kern w:val="2"/>
      <w:sz w:val="21"/>
      <w:szCs w:val="21"/>
      <w:lang w:val="en-US" w:eastAsia="zh-CN" w:bidi="ar-SA"/>
    </w:rPr>
  </w:style>
  <w:style w:type="character" w:customStyle="1" w:styleId="89">
    <w:name w:val="Heading 1 Char"/>
    <w:basedOn w:val="41"/>
    <w:qFormat/>
    <w:locked/>
    <w:uiPriority w:val="0"/>
    <w:rPr>
      <w:rFonts w:cs="Times New Roman"/>
      <w:b/>
      <w:bCs/>
      <w:kern w:val="44"/>
      <w:sz w:val="44"/>
      <w:szCs w:val="44"/>
    </w:rPr>
  </w:style>
  <w:style w:type="character" w:customStyle="1" w:styleId="90">
    <w:name w:val="批注框文本 Char"/>
    <w:basedOn w:val="41"/>
    <w:link w:val="25"/>
    <w:qFormat/>
    <w:uiPriority w:val="0"/>
    <w:rPr>
      <w:rFonts w:ascii="Calibri" w:hAnsi="Calibri" w:eastAsia="宋体" w:cs="Times New Roman"/>
      <w:sz w:val="18"/>
      <w:szCs w:val="18"/>
    </w:rPr>
  </w:style>
  <w:style w:type="character" w:customStyle="1" w:styleId="91">
    <w:name w:val="Char Char10"/>
    <w:basedOn w:val="41"/>
    <w:qFormat/>
    <w:uiPriority w:val="0"/>
    <w:rPr>
      <w:rFonts w:cs="Times New Roman"/>
      <w:sz w:val="18"/>
      <w:szCs w:val="18"/>
    </w:rPr>
  </w:style>
  <w:style w:type="character" w:customStyle="1" w:styleId="92">
    <w:name w:val="Plain Text Char"/>
    <w:basedOn w:val="41"/>
    <w:semiHidden/>
    <w:qFormat/>
    <w:locked/>
    <w:uiPriority w:val="0"/>
    <w:rPr>
      <w:rFonts w:ascii="宋体" w:hAnsi="Courier New" w:cs="Courier New"/>
      <w:sz w:val="21"/>
      <w:szCs w:val="21"/>
    </w:rPr>
  </w:style>
  <w:style w:type="character" w:customStyle="1" w:styleId="93">
    <w:name w:val="列表编号 Char"/>
    <w:basedOn w:val="41"/>
    <w:link w:val="12"/>
    <w:qFormat/>
    <w:uiPriority w:val="0"/>
    <w:rPr>
      <w:rFonts w:ascii="Calibri" w:hAnsi="Calibri" w:eastAsia="宋体" w:cs="Times New Roman"/>
    </w:rPr>
  </w:style>
  <w:style w:type="character" w:customStyle="1" w:styleId="94">
    <w:name w:val="even Char1"/>
    <w:basedOn w:val="41"/>
    <w:qFormat/>
    <w:uiPriority w:val="0"/>
    <w:rPr>
      <w:sz w:val="18"/>
      <w:szCs w:val="18"/>
    </w:rPr>
  </w:style>
  <w:style w:type="character" w:customStyle="1" w:styleId="95">
    <w:name w:val="Char Char17"/>
    <w:basedOn w:val="41"/>
    <w:qFormat/>
    <w:uiPriority w:val="0"/>
    <w:rPr>
      <w:rFonts w:ascii="Arial" w:hAnsi="Arial" w:eastAsia="黑体" w:cs="Times New Roman"/>
      <w:b/>
      <w:bCs/>
      <w:sz w:val="32"/>
      <w:szCs w:val="32"/>
    </w:rPr>
  </w:style>
  <w:style w:type="character" w:customStyle="1" w:styleId="96">
    <w:name w:val="标题 6 Char"/>
    <w:basedOn w:val="41"/>
    <w:link w:val="7"/>
    <w:qFormat/>
    <w:uiPriority w:val="0"/>
    <w:rPr>
      <w:rFonts w:ascii="Arial" w:hAnsi="Arial" w:eastAsia="黑体" w:cs="Times New Roman"/>
      <w:b/>
      <w:bCs/>
      <w:kern w:val="0"/>
      <w:sz w:val="24"/>
      <w:szCs w:val="24"/>
    </w:rPr>
  </w:style>
  <w:style w:type="character" w:customStyle="1" w:styleId="97">
    <w:name w:val="标题 7 Char"/>
    <w:basedOn w:val="41"/>
    <w:link w:val="8"/>
    <w:qFormat/>
    <w:uiPriority w:val="0"/>
    <w:rPr>
      <w:rFonts w:ascii="Times New Roman" w:hAnsi="Times New Roman" w:eastAsia="宋体" w:cs="Times New Roman"/>
      <w:b/>
      <w:bCs/>
      <w:kern w:val="0"/>
      <w:sz w:val="24"/>
      <w:szCs w:val="24"/>
    </w:rPr>
  </w:style>
  <w:style w:type="character" w:customStyle="1" w:styleId="98">
    <w:name w:val="标题 8 Char"/>
    <w:basedOn w:val="41"/>
    <w:link w:val="9"/>
    <w:qFormat/>
    <w:uiPriority w:val="0"/>
    <w:rPr>
      <w:rFonts w:ascii="Arial" w:hAnsi="Arial" w:eastAsia="黑体" w:cs="Times New Roman"/>
      <w:kern w:val="0"/>
      <w:sz w:val="24"/>
      <w:szCs w:val="24"/>
    </w:rPr>
  </w:style>
  <w:style w:type="character" w:customStyle="1" w:styleId="99">
    <w:name w:val="标题 9 Char"/>
    <w:basedOn w:val="41"/>
    <w:link w:val="10"/>
    <w:qFormat/>
    <w:uiPriority w:val="0"/>
    <w:rPr>
      <w:rFonts w:ascii="Arial" w:hAnsi="Arial" w:eastAsia="黑体" w:cs="Times New Roman"/>
      <w:kern w:val="0"/>
      <w:sz w:val="20"/>
      <w:szCs w:val="21"/>
    </w:rPr>
  </w:style>
  <w:style w:type="character" w:customStyle="1" w:styleId="100">
    <w:name w:val="Char Char2"/>
    <w:qFormat/>
    <w:uiPriority w:val="0"/>
    <w:rPr>
      <w:kern w:val="2"/>
      <w:sz w:val="18"/>
      <w:szCs w:val="18"/>
    </w:rPr>
  </w:style>
  <w:style w:type="character" w:customStyle="1" w:styleId="101">
    <w:name w:val="ca-11"/>
    <w:basedOn w:val="41"/>
    <w:qFormat/>
    <w:uiPriority w:val="0"/>
    <w:rPr>
      <w:rFonts w:hint="eastAsia" w:ascii="宋体" w:hAnsi="宋体" w:eastAsia="宋体"/>
      <w:sz w:val="24"/>
      <w:szCs w:val="24"/>
    </w:rPr>
  </w:style>
  <w:style w:type="character" w:customStyle="1" w:styleId="102">
    <w:name w:val="批注主题 Char"/>
    <w:link w:val="38"/>
    <w:qFormat/>
    <w:uiPriority w:val="0"/>
    <w:rPr>
      <w:rFonts w:ascii="Times New Roman" w:hAnsi="Times New Roman" w:eastAsia="宋体" w:cs="Times New Roman"/>
      <w:b/>
      <w:bCs/>
      <w:szCs w:val="24"/>
    </w:rPr>
  </w:style>
  <w:style w:type="character" w:customStyle="1" w:styleId="103">
    <w:name w:val="批注文字 Char"/>
    <w:qFormat/>
    <w:uiPriority w:val="0"/>
    <w:rPr>
      <w:rFonts w:ascii="Times New Roman" w:hAnsi="Times New Roman" w:eastAsia="宋体" w:cs="Times New Roman"/>
      <w:szCs w:val="24"/>
    </w:rPr>
  </w:style>
  <w:style w:type="character" w:customStyle="1" w:styleId="104">
    <w:name w:val="ca-01"/>
    <w:basedOn w:val="41"/>
    <w:qFormat/>
    <w:uiPriority w:val="0"/>
    <w:rPr>
      <w:rFonts w:hint="eastAsia" w:ascii="宋体" w:hAnsi="宋体" w:eastAsia="宋体"/>
      <w:b/>
      <w:bCs/>
      <w:spacing w:val="-20"/>
      <w:sz w:val="32"/>
      <w:szCs w:val="32"/>
    </w:rPr>
  </w:style>
  <w:style w:type="character" w:customStyle="1" w:styleId="105">
    <w:name w:val="正文文本 3 Char"/>
    <w:link w:val="16"/>
    <w:qFormat/>
    <w:uiPriority w:val="0"/>
    <w:rPr>
      <w:rFonts w:ascii="宋体" w:hAnsi="Times New Roman" w:eastAsia="宋体" w:cs="Times New Roman"/>
      <w:sz w:val="24"/>
      <w:szCs w:val="20"/>
    </w:rPr>
  </w:style>
  <w:style w:type="character" w:customStyle="1" w:styleId="106">
    <w:name w:val="Char Char Char"/>
    <w:qFormat/>
    <w:uiPriority w:val="0"/>
    <w:rPr>
      <w:rFonts w:ascii="宋体" w:hAnsi="Courier New" w:eastAsia="仿宋_GB2312" w:cs="Courier New"/>
      <w:kern w:val="2"/>
      <w:sz w:val="21"/>
      <w:szCs w:val="21"/>
    </w:rPr>
  </w:style>
  <w:style w:type="character" w:customStyle="1" w:styleId="107">
    <w:name w:val="font161"/>
    <w:qFormat/>
    <w:uiPriority w:val="0"/>
    <w:rPr>
      <w:b/>
      <w:bCs/>
      <w:sz w:val="32"/>
      <w:szCs w:val="32"/>
    </w:rPr>
  </w:style>
  <w:style w:type="character" w:customStyle="1" w:styleId="108">
    <w:name w:val="正文文本缩进 3 Char"/>
    <w:link w:val="32"/>
    <w:qFormat/>
    <w:uiPriority w:val="0"/>
    <w:rPr>
      <w:rFonts w:ascii="Times New Roman" w:hAnsi="Times New Roman" w:eastAsia="宋体" w:cs="Times New Roman"/>
      <w:sz w:val="16"/>
      <w:szCs w:val="16"/>
    </w:rPr>
  </w:style>
  <w:style w:type="character" w:customStyle="1" w:styleId="109">
    <w:name w:val="正文文本 Char"/>
    <w:link w:val="17"/>
    <w:qFormat/>
    <w:uiPriority w:val="0"/>
    <w:rPr>
      <w:rFonts w:ascii="Times New Roman" w:hAnsi="Times New Roman" w:eastAsia="宋体" w:cs="Times New Roman"/>
      <w:szCs w:val="24"/>
    </w:rPr>
  </w:style>
  <w:style w:type="character" w:customStyle="1" w:styleId="110">
    <w:name w:val="Char Char3"/>
    <w:qFormat/>
    <w:uiPriority w:val="0"/>
    <w:rPr>
      <w:rFonts w:ascii="Arial" w:hAnsi="Arial" w:eastAsia="黑体"/>
      <w:b/>
      <w:bCs/>
      <w:kern w:val="2"/>
      <w:sz w:val="32"/>
      <w:szCs w:val="32"/>
      <w:lang w:val="en-US" w:eastAsia="zh-CN" w:bidi="ar-SA"/>
    </w:rPr>
  </w:style>
  <w:style w:type="character" w:customStyle="1" w:styleId="111">
    <w:name w:val="文字正文 Char Char"/>
    <w:basedOn w:val="41"/>
    <w:link w:val="62"/>
    <w:qFormat/>
    <w:uiPriority w:val="0"/>
    <w:rPr>
      <w:rFonts w:ascii="宋体" w:hAnsi="宋体" w:eastAsia="宋体" w:cs="宋体"/>
      <w:sz w:val="24"/>
      <w:szCs w:val="24"/>
    </w:rPr>
  </w:style>
  <w:style w:type="character" w:customStyle="1" w:styleId="112">
    <w:name w:val="标题 Char"/>
    <w:link w:val="37"/>
    <w:qFormat/>
    <w:uiPriority w:val="0"/>
    <w:rPr>
      <w:rFonts w:ascii="Arial" w:hAnsi="Arial" w:eastAsia="宋体" w:cs="Times New Roman"/>
      <w:b/>
      <w:kern w:val="0"/>
      <w:sz w:val="32"/>
      <w:szCs w:val="20"/>
    </w:rPr>
  </w:style>
  <w:style w:type="character" w:customStyle="1" w:styleId="113">
    <w:name w:val="正文文本缩进 3 Char1"/>
    <w:basedOn w:val="41"/>
    <w:semiHidden/>
    <w:qFormat/>
    <w:uiPriority w:val="99"/>
    <w:rPr>
      <w:rFonts w:ascii="Times New Roman" w:hAnsi="Times New Roman" w:eastAsia="宋体" w:cs="Times New Roman"/>
      <w:sz w:val="16"/>
      <w:szCs w:val="16"/>
    </w:rPr>
  </w:style>
  <w:style w:type="character" w:customStyle="1" w:styleId="114">
    <w:name w:val="标题 Char1"/>
    <w:basedOn w:val="41"/>
    <w:qFormat/>
    <w:uiPriority w:val="10"/>
    <w:rPr>
      <w:rFonts w:ascii="Cambria" w:hAnsi="Cambria" w:eastAsia="宋体" w:cs="黑体"/>
      <w:b/>
      <w:bCs/>
      <w:sz w:val="32"/>
      <w:szCs w:val="32"/>
    </w:rPr>
  </w:style>
  <w:style w:type="character" w:customStyle="1" w:styleId="115">
    <w:name w:val="正文文本 Char1"/>
    <w:basedOn w:val="41"/>
    <w:semiHidden/>
    <w:qFormat/>
    <w:uiPriority w:val="99"/>
    <w:rPr>
      <w:rFonts w:ascii="Times New Roman" w:hAnsi="Times New Roman" w:eastAsia="宋体" w:cs="Times New Roman"/>
      <w:szCs w:val="24"/>
    </w:rPr>
  </w:style>
  <w:style w:type="character" w:customStyle="1" w:styleId="116">
    <w:name w:val="正文文本 3 Char1"/>
    <w:basedOn w:val="41"/>
    <w:semiHidden/>
    <w:qFormat/>
    <w:uiPriority w:val="99"/>
    <w:rPr>
      <w:rFonts w:ascii="Times New Roman" w:hAnsi="Times New Roman" w:eastAsia="宋体" w:cs="Times New Roman"/>
      <w:sz w:val="16"/>
      <w:szCs w:val="16"/>
    </w:rPr>
  </w:style>
  <w:style w:type="character" w:customStyle="1" w:styleId="117">
    <w:name w:val="批注文字 Char1"/>
    <w:basedOn w:val="41"/>
    <w:link w:val="15"/>
    <w:qFormat/>
    <w:uiPriority w:val="99"/>
    <w:rPr>
      <w:rFonts w:ascii="Times New Roman" w:hAnsi="Times New Roman" w:eastAsia="宋体" w:cs="Times New Roman"/>
      <w:szCs w:val="24"/>
    </w:rPr>
  </w:style>
  <w:style w:type="character" w:customStyle="1" w:styleId="118">
    <w:name w:val="批注主题 Char1"/>
    <w:basedOn w:val="117"/>
    <w:semiHidden/>
    <w:qFormat/>
    <w:uiPriority w:val="99"/>
    <w:rPr>
      <w:rFonts w:ascii="Times New Roman" w:hAnsi="Times New Roman" w:eastAsia="宋体" w:cs="Times New Roman"/>
      <w:b/>
      <w:bCs/>
      <w:szCs w:val="24"/>
    </w:rPr>
  </w:style>
  <w:style w:type="character" w:customStyle="1" w:styleId="119">
    <w:name w:val="标题 5 Char"/>
    <w:basedOn w:val="41"/>
    <w:link w:val="6"/>
    <w:semiHidden/>
    <w:qFormat/>
    <w:uiPriority w:val="9"/>
    <w:rPr>
      <w:rFonts w:ascii="Times New Roman" w:hAnsi="Times New Roman" w:eastAsia="宋体" w:cs="Times New Roman"/>
      <w:b/>
      <w:bCs/>
      <w:sz w:val="28"/>
      <w:szCs w:val="28"/>
    </w:rPr>
  </w:style>
  <w:style w:type="character" w:customStyle="1" w:styleId="120">
    <w:name w:val="页码1"/>
    <w:basedOn w:val="41"/>
    <w:qFormat/>
    <w:uiPriority w:val="0"/>
  </w:style>
  <w:style w:type="character" w:customStyle="1" w:styleId="121">
    <w:name w:val="font11"/>
    <w:basedOn w:val="41"/>
    <w:qFormat/>
    <w:uiPriority w:val="0"/>
    <w:rPr>
      <w:rFonts w:ascii="SJQY" w:hAnsi="SJQY" w:eastAsia="SJQY" w:cs="SJQY"/>
      <w:color w:val="000000"/>
      <w:sz w:val="20"/>
      <w:szCs w:val="20"/>
      <w:u w:val="none"/>
    </w:rPr>
  </w:style>
  <w:style w:type="character" w:customStyle="1" w:styleId="122">
    <w:name w:val="font21"/>
    <w:basedOn w:val="41"/>
    <w:qFormat/>
    <w:uiPriority w:val="0"/>
    <w:rPr>
      <w:rFonts w:hint="default" w:ascii="Calibri" w:hAnsi="Calibri" w:cs="Calibri"/>
      <w:color w:val="000000"/>
      <w:sz w:val="20"/>
      <w:szCs w:val="20"/>
      <w:u w:val="none"/>
    </w:rPr>
  </w:style>
  <w:style w:type="character" w:customStyle="1" w:styleId="123">
    <w:name w:val="正文文本缩进 2 Char"/>
    <w:basedOn w:val="41"/>
    <w:link w:val="24"/>
    <w:qFormat/>
    <w:uiPriority w:val="0"/>
    <w:rPr>
      <w:rFonts w:eastAsia="仿宋_GB2312"/>
      <w:kern w:val="2"/>
      <w:sz w:val="21"/>
      <w:szCs w:val="24"/>
    </w:rPr>
  </w:style>
  <w:style w:type="paragraph" w:customStyle="1" w:styleId="124">
    <w:name w:val="TOC 标题1"/>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66091" w:themeColor="accent1" w:themeShade="BF"/>
      <w:kern w:val="0"/>
      <w:sz w:val="28"/>
      <w:szCs w:val="28"/>
    </w:rPr>
  </w:style>
  <w:style w:type="paragraph" w:customStyle="1" w:styleId="125">
    <w:name w:val="Char2"/>
    <w:basedOn w:val="1"/>
    <w:next w:val="1"/>
    <w:qFormat/>
    <w:uiPriority w:val="0"/>
    <w:pPr>
      <w:widowControl/>
      <w:tabs>
        <w:tab w:val="left" w:pos="777"/>
      </w:tabs>
      <w:spacing w:beforeLines="50" w:afterLines="100" w:line="360" w:lineRule="auto"/>
      <w:ind w:left="2210" w:hanging="748"/>
      <w:jc w:val="center"/>
    </w:pPr>
  </w:style>
  <w:style w:type="paragraph" w:styleId="126">
    <w:name w:val="List Paragraph"/>
    <w:basedOn w:val="1"/>
    <w:unhideWhenUsed/>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header" Target="header1.xml"/><Relationship Id="rId29" Type="http://schemas.openxmlformats.org/officeDocument/2006/relationships/image" Target="media/image2.jpeg"/><Relationship Id="rId28" Type="http://schemas.openxmlformats.org/officeDocument/2006/relationships/theme" Target="theme/theme1.xml"/><Relationship Id="rId27" Type="http://schemas.openxmlformats.org/officeDocument/2006/relationships/header" Target="header12.xml"/><Relationship Id="rId26" Type="http://schemas.openxmlformats.org/officeDocument/2006/relationships/footer" Target="footer13.xml"/><Relationship Id="rId25" Type="http://schemas.openxmlformats.org/officeDocument/2006/relationships/footer" Target="footer12.xml"/><Relationship Id="rId24" Type="http://schemas.openxmlformats.org/officeDocument/2006/relationships/header" Target="header11.xml"/><Relationship Id="rId23" Type="http://schemas.openxmlformats.org/officeDocument/2006/relationships/header" Target="header10.xml"/><Relationship Id="rId22" Type="http://schemas.openxmlformats.org/officeDocument/2006/relationships/header" Target="header9.xml"/><Relationship Id="rId21" Type="http://schemas.openxmlformats.org/officeDocument/2006/relationships/footer" Target="footer11.xml"/><Relationship Id="rId20" Type="http://schemas.openxmlformats.org/officeDocument/2006/relationships/header" Target="header8.xml"/><Relationship Id="rId2" Type="http://schemas.openxmlformats.org/officeDocument/2006/relationships/settings" Target="settings.xml"/><Relationship Id="rId19" Type="http://schemas.openxmlformats.org/officeDocument/2006/relationships/header" Target="header7.xml"/><Relationship Id="rId18" Type="http://schemas.openxmlformats.org/officeDocument/2006/relationships/footer" Target="footer10.xml"/><Relationship Id="rId17" Type="http://schemas.openxmlformats.org/officeDocument/2006/relationships/footer" Target="footer9.xml"/><Relationship Id="rId16" Type="http://schemas.openxmlformats.org/officeDocument/2006/relationships/header" Target="header6.xml"/><Relationship Id="rId15" Type="http://schemas.openxmlformats.org/officeDocument/2006/relationships/footer" Target="footer8.xml"/><Relationship Id="rId14" Type="http://schemas.openxmlformats.org/officeDocument/2006/relationships/footer" Target="footer7.xml"/><Relationship Id="rId13" Type="http://schemas.openxmlformats.org/officeDocument/2006/relationships/header" Target="header5.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8"/>
    <customShpInfo spid="_x0000_s4097"/>
    <customShpInfo spid="_x0000_s4099"/>
    <customShpInfo spid="_x0000_s410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1F2337-9694-4C9D-B703-EAB3E4E8C0CD}">
  <ds:schemaRefs/>
</ds:datastoreItem>
</file>

<file path=docProps/app.xml><?xml version="1.0" encoding="utf-8"?>
<Properties xmlns="http://schemas.openxmlformats.org/officeDocument/2006/extended-properties" xmlns:vt="http://schemas.openxmlformats.org/officeDocument/2006/docPropsVTypes">
  <Template>Normal</Template>
  <Pages>41</Pages>
  <Words>3292</Words>
  <Characters>18769</Characters>
  <Lines>156</Lines>
  <Paragraphs>44</Paragraphs>
  <TotalTime>7</TotalTime>
  <ScaleCrop>false</ScaleCrop>
  <LinksUpToDate>false</LinksUpToDate>
  <CharactersWithSpaces>22017</CharactersWithSpaces>
  <Application>WPS Office_11.1.0.8976_F1E327BC-269C-435d-A152-05C5408002CA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2015-11-25T03:14:00Z</dcterms:created>
  <dc:creator>crucg16</dc:creator>
  <cp:lastModifiedBy>在呢</cp:lastModifiedBy>
  <cp:lastPrinted>2018-05-23T07:29:00Z</cp:lastPrinted>
  <dcterms:modified xsi:type="dcterms:W3CDTF">2019-09-10T01:47:00Z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