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00" w:rsidRPr="001D70D1" w:rsidRDefault="00E15E40" w:rsidP="001D70D1">
      <w:pPr>
        <w:spacing w:after="0" w:line="360" w:lineRule="auto"/>
        <w:ind w:leftChars="-43" w:left="-95"/>
        <w:contextualSpacing/>
        <w:rPr>
          <w:rFonts w:asciiTheme="minorEastAsia" w:eastAsiaTheme="minorEastAsia" w:hAnsiTheme="minorEastAsia" w:cs="宋体"/>
          <w:b/>
          <w:sz w:val="30"/>
          <w:szCs w:val="30"/>
        </w:rPr>
      </w:pPr>
      <w:r w:rsidRPr="001D70D1">
        <w:rPr>
          <w:rFonts w:asciiTheme="minorEastAsia" w:eastAsiaTheme="minorEastAsia" w:hAnsiTheme="minorEastAsia" w:cs="宋体" w:hint="eastAsia"/>
          <w:b/>
          <w:sz w:val="30"/>
          <w:szCs w:val="30"/>
        </w:rPr>
        <w:t>江西省上饶市瑞弘招标咨询有限公司关于</w:t>
      </w:r>
      <w:r w:rsidR="00F21B00" w:rsidRPr="001D70D1">
        <w:rPr>
          <w:rFonts w:asciiTheme="minorEastAsia" w:eastAsiaTheme="minorEastAsia" w:hAnsiTheme="minorEastAsia" w:cs="宋体" w:hint="eastAsia"/>
          <w:b/>
          <w:sz w:val="30"/>
          <w:szCs w:val="30"/>
        </w:rPr>
        <w:t>上饶市信州区广源电力工程服务有限公司铅山县分公司</w:t>
      </w:r>
      <w:r w:rsidR="009B708D" w:rsidRPr="001D70D1">
        <w:rPr>
          <w:rFonts w:asciiTheme="minorEastAsia" w:eastAsiaTheme="minorEastAsia" w:hAnsiTheme="minorEastAsia" w:cs="宋体" w:hint="eastAsia"/>
          <w:b/>
          <w:sz w:val="30"/>
          <w:szCs w:val="30"/>
        </w:rPr>
        <w:t>铅山县碧桂园小区二期配电工程（电缆）</w:t>
      </w:r>
      <w:r w:rsidRPr="001D70D1">
        <w:rPr>
          <w:rFonts w:asciiTheme="minorEastAsia" w:eastAsiaTheme="minorEastAsia" w:hAnsiTheme="minorEastAsia" w:cs="宋体" w:hint="eastAsia"/>
          <w:b/>
          <w:sz w:val="30"/>
          <w:szCs w:val="30"/>
        </w:rPr>
        <w:t>（项目编号：</w:t>
      </w:r>
      <w:r w:rsidR="00C37A9C" w:rsidRPr="001D70D1">
        <w:rPr>
          <w:rFonts w:asciiTheme="minorEastAsia" w:eastAsiaTheme="minorEastAsia" w:hAnsiTheme="minorEastAsia" w:cs="宋体" w:hint="eastAsia"/>
          <w:b/>
          <w:sz w:val="30"/>
          <w:szCs w:val="30"/>
        </w:rPr>
        <w:t>RHZB-2019-0</w:t>
      </w:r>
      <w:r w:rsidR="00812C66" w:rsidRPr="001D70D1">
        <w:rPr>
          <w:rFonts w:asciiTheme="minorEastAsia" w:eastAsiaTheme="minorEastAsia" w:hAnsiTheme="minorEastAsia" w:cs="宋体" w:hint="eastAsia"/>
          <w:b/>
          <w:sz w:val="30"/>
          <w:szCs w:val="30"/>
        </w:rPr>
        <w:t>36</w:t>
      </w:r>
      <w:r w:rsidR="00B10B56" w:rsidRPr="001D70D1">
        <w:rPr>
          <w:rFonts w:asciiTheme="minorEastAsia" w:eastAsiaTheme="minorEastAsia" w:hAnsiTheme="minorEastAsia" w:cs="宋体" w:hint="eastAsia"/>
          <w:b/>
          <w:sz w:val="30"/>
          <w:szCs w:val="30"/>
        </w:rPr>
        <w:t>）</w:t>
      </w:r>
      <w:r w:rsidR="0028646E" w:rsidRPr="001D70D1">
        <w:rPr>
          <w:rFonts w:asciiTheme="minorEastAsia" w:eastAsiaTheme="minorEastAsia" w:hAnsiTheme="minorEastAsia" w:cs="宋体" w:hint="eastAsia"/>
          <w:b/>
          <w:sz w:val="30"/>
          <w:szCs w:val="30"/>
        </w:rPr>
        <w:t>竞争性谈判采购</w:t>
      </w:r>
      <w:r w:rsidRPr="001D70D1">
        <w:rPr>
          <w:rFonts w:asciiTheme="minorEastAsia" w:eastAsiaTheme="minorEastAsia" w:hAnsiTheme="minorEastAsia" w:cs="宋体" w:hint="eastAsia"/>
          <w:b/>
          <w:sz w:val="30"/>
          <w:szCs w:val="30"/>
        </w:rPr>
        <w:t>公告</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上饶市瑞弘招标咨询有限公司受上饶市信州区广源电力工程服务有限公司铅山县分公司的委托，就铅山县碧桂园小区二期配电工程（电缆）组织竞争性谈判，欢迎具备条件的供应商参加投标。</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一、项目编号： RHZB-2019-036</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二、采购方式：竞争性谈判</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三、项目内容:</w:t>
      </w:r>
    </w:p>
    <w:tbl>
      <w:tblPr>
        <w:tblW w:w="9157" w:type="dxa"/>
        <w:jc w:val="center"/>
        <w:tblInd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3402"/>
        <w:gridCol w:w="992"/>
        <w:gridCol w:w="1985"/>
        <w:gridCol w:w="1997"/>
      </w:tblGrid>
      <w:tr w:rsidR="001D70D1" w:rsidRPr="001D70D1" w:rsidTr="0053210B">
        <w:trPr>
          <w:trHeight w:val="475"/>
          <w:jc w:val="center"/>
        </w:trPr>
        <w:tc>
          <w:tcPr>
            <w:tcW w:w="781" w:type="dxa"/>
            <w:tcBorders>
              <w:top w:val="single" w:sz="4" w:space="0" w:color="auto"/>
              <w:left w:val="single" w:sz="4" w:space="0" w:color="auto"/>
              <w:bottom w:val="single" w:sz="4" w:space="0" w:color="auto"/>
              <w:right w:val="single" w:sz="4" w:space="0" w:color="auto"/>
            </w:tcBorders>
          </w:tcPr>
          <w:p w:rsidR="001D70D1" w:rsidRPr="001D70D1" w:rsidRDefault="001D70D1" w:rsidP="001D70D1">
            <w:pPr>
              <w:spacing w:line="360" w:lineRule="auto"/>
              <w:contextualSpacing/>
              <w:jc w:val="center"/>
              <w:rPr>
                <w:rFonts w:asciiTheme="minorEastAsia" w:eastAsiaTheme="minorEastAsia" w:hAnsiTheme="minorEastAsia" w:cs="宋体"/>
                <w:sz w:val="24"/>
              </w:rPr>
            </w:pPr>
            <w:r w:rsidRPr="001D70D1">
              <w:rPr>
                <w:rFonts w:asciiTheme="minorEastAsia" w:eastAsiaTheme="minorEastAsia" w:hAnsiTheme="minorEastAsia" w:cs="宋体" w:hint="eastAsia"/>
                <w:sz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D70D1" w:rsidRPr="001D70D1" w:rsidRDefault="001D70D1" w:rsidP="001D70D1">
            <w:pPr>
              <w:spacing w:line="360" w:lineRule="auto"/>
              <w:contextualSpacing/>
              <w:jc w:val="center"/>
              <w:rPr>
                <w:rFonts w:asciiTheme="minorEastAsia" w:eastAsiaTheme="minorEastAsia" w:hAnsiTheme="minorEastAsia" w:cs="宋体"/>
                <w:sz w:val="24"/>
              </w:rPr>
            </w:pPr>
            <w:r w:rsidRPr="001D70D1">
              <w:rPr>
                <w:rFonts w:asciiTheme="minorEastAsia" w:eastAsiaTheme="minorEastAsia" w:hAnsiTheme="minorEastAsia" w:cs="宋体" w:hint="eastAsia"/>
                <w:sz w:val="24"/>
              </w:rPr>
              <w:t>项目名称</w:t>
            </w:r>
          </w:p>
        </w:tc>
        <w:tc>
          <w:tcPr>
            <w:tcW w:w="992" w:type="dxa"/>
            <w:tcBorders>
              <w:top w:val="single" w:sz="4" w:space="0" w:color="auto"/>
              <w:left w:val="single" w:sz="4" w:space="0" w:color="auto"/>
              <w:bottom w:val="single" w:sz="4" w:space="0" w:color="auto"/>
              <w:right w:val="single" w:sz="4" w:space="0" w:color="auto"/>
            </w:tcBorders>
            <w:vAlign w:val="center"/>
          </w:tcPr>
          <w:p w:rsidR="001D70D1" w:rsidRPr="001D70D1" w:rsidRDefault="001D70D1" w:rsidP="001D70D1">
            <w:pPr>
              <w:spacing w:line="360" w:lineRule="auto"/>
              <w:contextualSpacing/>
              <w:jc w:val="center"/>
              <w:rPr>
                <w:rFonts w:asciiTheme="minorEastAsia" w:eastAsiaTheme="minorEastAsia" w:hAnsiTheme="minorEastAsia" w:cs="宋体"/>
                <w:sz w:val="24"/>
              </w:rPr>
            </w:pPr>
            <w:r w:rsidRPr="001D70D1">
              <w:rPr>
                <w:rFonts w:asciiTheme="minorEastAsia" w:eastAsiaTheme="minorEastAsia" w:hAnsiTheme="minorEastAsia" w:cs="宋体" w:hint="eastAsia"/>
                <w:sz w:val="24"/>
              </w:rPr>
              <w:t>数量</w:t>
            </w:r>
          </w:p>
        </w:tc>
        <w:tc>
          <w:tcPr>
            <w:tcW w:w="1985" w:type="dxa"/>
            <w:tcBorders>
              <w:top w:val="single" w:sz="4" w:space="0" w:color="auto"/>
              <w:left w:val="single" w:sz="4" w:space="0" w:color="auto"/>
              <w:bottom w:val="single" w:sz="4" w:space="0" w:color="auto"/>
              <w:right w:val="single" w:sz="4" w:space="0" w:color="auto"/>
            </w:tcBorders>
            <w:vAlign w:val="center"/>
          </w:tcPr>
          <w:p w:rsidR="001D70D1" w:rsidRPr="001D70D1" w:rsidRDefault="001D70D1" w:rsidP="001D70D1">
            <w:pPr>
              <w:spacing w:line="360" w:lineRule="auto"/>
              <w:contextualSpacing/>
              <w:jc w:val="center"/>
              <w:rPr>
                <w:rFonts w:asciiTheme="minorEastAsia" w:eastAsiaTheme="minorEastAsia" w:hAnsiTheme="minorEastAsia" w:cs="宋体"/>
                <w:sz w:val="24"/>
              </w:rPr>
            </w:pPr>
            <w:r w:rsidRPr="001D70D1">
              <w:rPr>
                <w:rFonts w:asciiTheme="minorEastAsia" w:eastAsiaTheme="minorEastAsia" w:hAnsiTheme="minorEastAsia" w:cs="宋体" w:hint="eastAsia"/>
                <w:sz w:val="24"/>
              </w:rPr>
              <w:t>技术要求</w:t>
            </w:r>
          </w:p>
        </w:tc>
        <w:tc>
          <w:tcPr>
            <w:tcW w:w="1997" w:type="dxa"/>
            <w:tcBorders>
              <w:top w:val="single" w:sz="4" w:space="0" w:color="auto"/>
              <w:left w:val="single" w:sz="4" w:space="0" w:color="auto"/>
              <w:bottom w:val="single" w:sz="4" w:space="0" w:color="auto"/>
              <w:right w:val="single" w:sz="4" w:space="0" w:color="auto"/>
            </w:tcBorders>
            <w:vAlign w:val="center"/>
          </w:tcPr>
          <w:p w:rsidR="001D70D1" w:rsidRPr="001D70D1" w:rsidRDefault="001D70D1" w:rsidP="001D70D1">
            <w:pPr>
              <w:spacing w:line="360" w:lineRule="auto"/>
              <w:contextualSpacing/>
              <w:jc w:val="center"/>
              <w:rPr>
                <w:rFonts w:asciiTheme="minorEastAsia" w:eastAsiaTheme="minorEastAsia" w:hAnsiTheme="minorEastAsia" w:cs="宋体"/>
                <w:sz w:val="24"/>
              </w:rPr>
            </w:pPr>
            <w:r w:rsidRPr="001D70D1">
              <w:rPr>
                <w:rFonts w:asciiTheme="minorEastAsia" w:eastAsiaTheme="minorEastAsia" w:hAnsiTheme="minorEastAsia" w:cs="宋体" w:hint="eastAsia"/>
                <w:sz w:val="24"/>
              </w:rPr>
              <w:t>预算总价</w:t>
            </w:r>
          </w:p>
        </w:tc>
      </w:tr>
      <w:tr w:rsidR="001D70D1" w:rsidRPr="001D70D1" w:rsidTr="0053210B">
        <w:trPr>
          <w:trHeight w:val="1063"/>
          <w:jc w:val="center"/>
        </w:trPr>
        <w:tc>
          <w:tcPr>
            <w:tcW w:w="781" w:type="dxa"/>
            <w:tcBorders>
              <w:top w:val="single" w:sz="4" w:space="0" w:color="auto"/>
              <w:left w:val="single" w:sz="4" w:space="0" w:color="auto"/>
              <w:right w:val="single" w:sz="4" w:space="0" w:color="auto"/>
            </w:tcBorders>
            <w:vAlign w:val="center"/>
          </w:tcPr>
          <w:p w:rsidR="001D70D1" w:rsidRPr="001D70D1" w:rsidRDefault="001D70D1" w:rsidP="001D70D1">
            <w:pPr>
              <w:spacing w:line="360" w:lineRule="auto"/>
              <w:contextualSpacing/>
              <w:jc w:val="center"/>
              <w:rPr>
                <w:rFonts w:asciiTheme="minorEastAsia" w:eastAsiaTheme="minorEastAsia" w:hAnsiTheme="minorEastAsia" w:cs="宋体"/>
                <w:sz w:val="24"/>
              </w:rPr>
            </w:pPr>
            <w:r w:rsidRPr="001D70D1">
              <w:rPr>
                <w:rFonts w:asciiTheme="minorEastAsia" w:eastAsiaTheme="minorEastAsia" w:hAnsiTheme="minorEastAsia" w:cs="宋体" w:hint="eastAsia"/>
                <w:sz w:val="24"/>
              </w:rPr>
              <w:t>1</w:t>
            </w:r>
          </w:p>
        </w:tc>
        <w:tc>
          <w:tcPr>
            <w:tcW w:w="3402" w:type="dxa"/>
            <w:tcBorders>
              <w:top w:val="single" w:sz="4" w:space="0" w:color="auto"/>
              <w:left w:val="single" w:sz="4" w:space="0" w:color="auto"/>
              <w:right w:val="single" w:sz="4" w:space="0" w:color="auto"/>
            </w:tcBorders>
            <w:vAlign w:val="center"/>
          </w:tcPr>
          <w:p w:rsidR="001D70D1" w:rsidRPr="001D70D1" w:rsidRDefault="001D70D1" w:rsidP="001D70D1">
            <w:pPr>
              <w:spacing w:line="360" w:lineRule="auto"/>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铅山县碧桂园小区二期配电工程（电缆）</w:t>
            </w:r>
          </w:p>
        </w:tc>
        <w:tc>
          <w:tcPr>
            <w:tcW w:w="992" w:type="dxa"/>
            <w:tcBorders>
              <w:top w:val="single" w:sz="4" w:space="0" w:color="auto"/>
              <w:left w:val="single" w:sz="4" w:space="0" w:color="auto"/>
              <w:right w:val="single" w:sz="4" w:space="0" w:color="auto"/>
            </w:tcBorders>
            <w:vAlign w:val="center"/>
          </w:tcPr>
          <w:p w:rsidR="001D70D1" w:rsidRPr="001D70D1" w:rsidRDefault="001D70D1" w:rsidP="001D70D1">
            <w:pPr>
              <w:spacing w:line="360" w:lineRule="auto"/>
              <w:contextualSpacing/>
              <w:jc w:val="center"/>
              <w:rPr>
                <w:rFonts w:asciiTheme="minorEastAsia" w:eastAsiaTheme="minorEastAsia" w:hAnsiTheme="minorEastAsia" w:cs="宋体"/>
                <w:sz w:val="24"/>
              </w:rPr>
            </w:pPr>
            <w:r w:rsidRPr="001D70D1">
              <w:rPr>
                <w:rFonts w:asciiTheme="minorEastAsia" w:eastAsiaTheme="minorEastAsia" w:hAnsiTheme="minorEastAsia" w:cs="宋体" w:hint="eastAsia"/>
                <w:sz w:val="24"/>
              </w:rPr>
              <w:t>1批</w:t>
            </w:r>
          </w:p>
        </w:tc>
        <w:tc>
          <w:tcPr>
            <w:tcW w:w="1985" w:type="dxa"/>
            <w:tcBorders>
              <w:top w:val="single" w:sz="4" w:space="0" w:color="auto"/>
              <w:left w:val="single" w:sz="4" w:space="0" w:color="auto"/>
              <w:right w:val="single" w:sz="4" w:space="0" w:color="auto"/>
            </w:tcBorders>
            <w:vAlign w:val="center"/>
          </w:tcPr>
          <w:p w:rsidR="001D70D1" w:rsidRPr="001D70D1" w:rsidRDefault="001D70D1" w:rsidP="001D70D1">
            <w:pPr>
              <w:spacing w:line="360" w:lineRule="auto"/>
              <w:contextualSpacing/>
              <w:jc w:val="center"/>
              <w:rPr>
                <w:rFonts w:asciiTheme="minorEastAsia" w:eastAsiaTheme="minorEastAsia" w:hAnsiTheme="minorEastAsia" w:cs="宋体"/>
                <w:sz w:val="24"/>
              </w:rPr>
            </w:pPr>
            <w:r w:rsidRPr="001D70D1">
              <w:rPr>
                <w:rFonts w:asciiTheme="minorEastAsia" w:eastAsiaTheme="minorEastAsia" w:hAnsiTheme="minorEastAsia" w:cs="宋体" w:hint="eastAsia"/>
                <w:sz w:val="24"/>
              </w:rPr>
              <w:t>详见谈判文件</w:t>
            </w:r>
          </w:p>
        </w:tc>
        <w:tc>
          <w:tcPr>
            <w:tcW w:w="1997" w:type="dxa"/>
            <w:tcBorders>
              <w:top w:val="single" w:sz="4" w:space="0" w:color="auto"/>
              <w:left w:val="single" w:sz="4" w:space="0" w:color="auto"/>
              <w:right w:val="single" w:sz="4" w:space="0" w:color="auto"/>
            </w:tcBorders>
            <w:vAlign w:val="center"/>
          </w:tcPr>
          <w:p w:rsidR="001D70D1" w:rsidRPr="001D70D1" w:rsidRDefault="001D70D1" w:rsidP="001D70D1">
            <w:pPr>
              <w:spacing w:line="360" w:lineRule="auto"/>
              <w:contextualSpacing/>
              <w:jc w:val="center"/>
              <w:rPr>
                <w:rFonts w:asciiTheme="minorEastAsia" w:eastAsiaTheme="minorEastAsia" w:hAnsiTheme="minorEastAsia" w:cs="宋体"/>
                <w:sz w:val="24"/>
              </w:rPr>
            </w:pPr>
            <w:r w:rsidRPr="001D70D1">
              <w:rPr>
                <w:rFonts w:asciiTheme="minorEastAsia" w:eastAsiaTheme="minorEastAsia" w:hAnsiTheme="minorEastAsia" w:cs="宋体" w:hint="eastAsia"/>
                <w:sz w:val="24"/>
              </w:rPr>
              <w:t>1080000</w:t>
            </w:r>
            <w:r w:rsidRPr="001D70D1">
              <w:rPr>
                <w:rFonts w:asciiTheme="minorEastAsia" w:eastAsiaTheme="minorEastAsia" w:hAnsiTheme="minorEastAsia" w:hint="eastAsia"/>
                <w:sz w:val="24"/>
              </w:rPr>
              <w:t>元</w:t>
            </w:r>
          </w:p>
        </w:tc>
      </w:tr>
    </w:tbl>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 xml:space="preserve">四、投标人的资格条件： </w:t>
      </w:r>
    </w:p>
    <w:p w:rsidR="001D70D1" w:rsidRPr="001D70D1" w:rsidRDefault="001D70D1" w:rsidP="001D70D1">
      <w:pPr>
        <w:spacing w:line="360" w:lineRule="auto"/>
        <w:ind w:rightChars="50" w:right="110" w:firstLineChars="59" w:firstLine="142"/>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1.符合政府采购法第二十二条之规定：</w:t>
      </w:r>
    </w:p>
    <w:p w:rsidR="001D70D1" w:rsidRPr="001D70D1" w:rsidRDefault="001D70D1" w:rsidP="001D70D1">
      <w:pPr>
        <w:spacing w:line="360" w:lineRule="auto"/>
        <w:ind w:rightChars="50" w:right="110" w:firstLineChars="59" w:firstLine="142"/>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①具有独立承担民事责任的能力；（提供营业执照副本、税务登记证副本、组织机构代码证或三证合一营业执照复印件、法定代表人授权委托书原件及被授权人身份证复印件）</w:t>
      </w:r>
    </w:p>
    <w:p w:rsidR="001D70D1" w:rsidRPr="001D70D1" w:rsidRDefault="001D70D1" w:rsidP="001D70D1">
      <w:pPr>
        <w:spacing w:line="360" w:lineRule="auto"/>
        <w:ind w:rightChars="50" w:right="110" w:firstLineChars="59" w:firstLine="142"/>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②有良好的商业信誉和健全的财务会计制度；(提供2017或2018年度经会计事务所审计的财务状况报告复印件)</w:t>
      </w:r>
    </w:p>
    <w:p w:rsidR="001D70D1" w:rsidRPr="001D70D1" w:rsidRDefault="001D70D1" w:rsidP="001D70D1">
      <w:pPr>
        <w:spacing w:line="360" w:lineRule="auto"/>
        <w:ind w:rightChars="50" w:right="110" w:firstLineChars="59" w:firstLine="142"/>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③有履行合同所必需的设备和专业技术能力；</w:t>
      </w:r>
    </w:p>
    <w:p w:rsidR="001D70D1" w:rsidRPr="001D70D1" w:rsidRDefault="001D70D1" w:rsidP="001D70D1">
      <w:pPr>
        <w:spacing w:line="360" w:lineRule="auto"/>
        <w:ind w:rightChars="50" w:right="110" w:firstLineChars="59" w:firstLine="142"/>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④有依法缴纳税收和社会保障资金的良好记录；（提供近三个月的依法缴纳税收和社会保障资金的证明材料复印件）</w:t>
      </w:r>
    </w:p>
    <w:p w:rsidR="001D70D1" w:rsidRPr="001D70D1" w:rsidRDefault="001D70D1" w:rsidP="001D70D1">
      <w:pPr>
        <w:spacing w:line="360" w:lineRule="auto"/>
        <w:ind w:rightChars="50" w:right="110" w:firstLineChars="59" w:firstLine="142"/>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⑤参加政府采购活动前三年内,在经营活动中没有重大违法记录；</w:t>
      </w:r>
    </w:p>
    <w:p w:rsidR="001D70D1" w:rsidRPr="001D70D1" w:rsidRDefault="001D70D1" w:rsidP="001D70D1">
      <w:pPr>
        <w:spacing w:line="360" w:lineRule="auto"/>
        <w:ind w:rightChars="50" w:right="110" w:firstLineChars="59" w:firstLine="142"/>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⑥ 法律、行政法规规定的其他条件；</w:t>
      </w:r>
    </w:p>
    <w:p w:rsidR="001D70D1" w:rsidRPr="001D70D1" w:rsidRDefault="001D70D1" w:rsidP="001D70D1">
      <w:pPr>
        <w:pStyle w:val="a8"/>
        <w:shd w:val="clear" w:color="auto" w:fill="FFFFFF"/>
        <w:snapToGrid w:val="0"/>
        <w:spacing w:before="0" w:beforeAutospacing="0" w:after="0" w:afterAutospacing="0" w:line="360" w:lineRule="auto"/>
        <w:ind w:firstLine="480"/>
        <w:contextualSpacing/>
        <w:jc w:val="both"/>
        <w:rPr>
          <w:rFonts w:asciiTheme="minorEastAsia" w:eastAsiaTheme="minorEastAsia" w:hAnsiTheme="minorEastAsia"/>
          <w:kern w:val="2"/>
          <w:szCs w:val="20"/>
        </w:rPr>
      </w:pPr>
      <w:r w:rsidRPr="001D70D1">
        <w:rPr>
          <w:rFonts w:asciiTheme="minorEastAsia" w:eastAsiaTheme="minorEastAsia" w:hAnsiTheme="minorEastAsia" w:hint="eastAsia"/>
          <w:kern w:val="2"/>
          <w:szCs w:val="20"/>
        </w:rPr>
        <w:t>2、投标人必须为“信用中国”网站（</w:t>
      </w:r>
      <w:proofErr w:type="spellStart"/>
      <w:r w:rsidRPr="001D70D1">
        <w:rPr>
          <w:rFonts w:asciiTheme="minorEastAsia" w:eastAsiaTheme="minorEastAsia" w:hAnsiTheme="minorEastAsia" w:hint="eastAsia"/>
          <w:kern w:val="2"/>
          <w:szCs w:val="20"/>
        </w:rPr>
        <w:t>www.creditchina.gov.cn</w:t>
      </w:r>
      <w:proofErr w:type="spellEnd"/>
      <w:r w:rsidRPr="001D70D1">
        <w:rPr>
          <w:rFonts w:asciiTheme="minorEastAsia" w:eastAsiaTheme="minorEastAsia" w:hAnsiTheme="minorEastAsia" w:hint="eastAsia"/>
          <w:kern w:val="2"/>
          <w:szCs w:val="20"/>
        </w:rPr>
        <w:t>）、中国政府采购网（</w:t>
      </w:r>
      <w:proofErr w:type="spellStart"/>
      <w:r w:rsidRPr="001D70D1">
        <w:rPr>
          <w:rFonts w:asciiTheme="minorEastAsia" w:eastAsiaTheme="minorEastAsia" w:hAnsiTheme="minorEastAsia" w:hint="eastAsia"/>
          <w:kern w:val="2"/>
          <w:szCs w:val="20"/>
        </w:rPr>
        <w:t>www.ccgp.gov.cn</w:t>
      </w:r>
      <w:proofErr w:type="spellEnd"/>
      <w:r w:rsidRPr="001D70D1">
        <w:rPr>
          <w:rFonts w:asciiTheme="minorEastAsia" w:eastAsiaTheme="minorEastAsia" w:hAnsiTheme="minorEastAsia" w:hint="eastAsia"/>
          <w:kern w:val="2"/>
          <w:szCs w:val="20"/>
        </w:rPr>
        <w:t>）查询无不良信用记录供应商。</w:t>
      </w:r>
    </w:p>
    <w:p w:rsidR="001D70D1" w:rsidRPr="001D70D1" w:rsidRDefault="001D70D1" w:rsidP="001D70D1">
      <w:pPr>
        <w:pStyle w:val="a8"/>
        <w:shd w:val="clear" w:color="auto" w:fill="FFFFFF"/>
        <w:snapToGrid w:val="0"/>
        <w:spacing w:before="0" w:beforeAutospacing="0" w:after="0" w:afterAutospacing="0" w:line="360" w:lineRule="auto"/>
        <w:ind w:firstLine="480"/>
        <w:contextualSpacing/>
        <w:jc w:val="both"/>
        <w:rPr>
          <w:rFonts w:asciiTheme="minorEastAsia" w:eastAsiaTheme="minorEastAsia" w:hAnsiTheme="minorEastAsia"/>
          <w:kern w:val="2"/>
          <w:szCs w:val="20"/>
        </w:rPr>
      </w:pPr>
      <w:r w:rsidRPr="001D70D1">
        <w:rPr>
          <w:rFonts w:asciiTheme="minorEastAsia" w:eastAsiaTheme="minorEastAsia" w:hAnsiTheme="minorEastAsia" w:hint="eastAsia"/>
          <w:kern w:val="2"/>
          <w:szCs w:val="20"/>
        </w:rPr>
        <w:t>3、不接受联合体投标。</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五、谈判文件购买信息：</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lastRenderedPageBreak/>
        <w:t>1、购买时间：</w:t>
      </w:r>
      <w:r w:rsidRPr="001D70D1">
        <w:rPr>
          <w:rFonts w:asciiTheme="minorEastAsia" w:eastAsiaTheme="minorEastAsia" w:hAnsiTheme="minorEastAsia" w:cs="宋体" w:hint="eastAsia"/>
          <w:sz w:val="24"/>
          <w:szCs w:val="24"/>
        </w:rPr>
        <w:t>2019年</w:t>
      </w:r>
      <w:r w:rsidR="00DC3657">
        <w:rPr>
          <w:rFonts w:asciiTheme="minorEastAsia" w:eastAsiaTheme="minorEastAsia" w:hAnsiTheme="minorEastAsia" w:cs="宋体" w:hint="eastAsia"/>
          <w:sz w:val="24"/>
          <w:szCs w:val="24"/>
        </w:rPr>
        <w:t>4</w:t>
      </w:r>
      <w:r w:rsidRPr="001D70D1">
        <w:rPr>
          <w:rFonts w:asciiTheme="minorEastAsia" w:eastAsiaTheme="minorEastAsia" w:hAnsiTheme="minorEastAsia" w:cs="宋体" w:hint="eastAsia"/>
          <w:sz w:val="24"/>
          <w:szCs w:val="24"/>
        </w:rPr>
        <w:t>月</w:t>
      </w:r>
      <w:r w:rsidR="00DC3657">
        <w:rPr>
          <w:rFonts w:asciiTheme="minorEastAsia" w:eastAsiaTheme="minorEastAsia" w:hAnsiTheme="minorEastAsia" w:cs="宋体" w:hint="eastAsia"/>
          <w:sz w:val="24"/>
          <w:szCs w:val="24"/>
        </w:rPr>
        <w:t>17</w:t>
      </w:r>
      <w:r w:rsidRPr="001D70D1">
        <w:rPr>
          <w:rFonts w:asciiTheme="minorEastAsia" w:eastAsiaTheme="minorEastAsia" w:hAnsiTheme="minorEastAsia" w:cs="宋体" w:hint="eastAsia"/>
          <w:sz w:val="24"/>
          <w:szCs w:val="24"/>
        </w:rPr>
        <w:t>日至2019年</w:t>
      </w:r>
      <w:r w:rsidR="00DC3657">
        <w:rPr>
          <w:rFonts w:asciiTheme="minorEastAsia" w:eastAsiaTheme="minorEastAsia" w:hAnsiTheme="minorEastAsia" w:cs="宋体" w:hint="eastAsia"/>
          <w:sz w:val="24"/>
          <w:szCs w:val="24"/>
        </w:rPr>
        <w:t>4</w:t>
      </w:r>
      <w:r w:rsidRPr="001D70D1">
        <w:rPr>
          <w:rFonts w:asciiTheme="minorEastAsia" w:eastAsiaTheme="minorEastAsia" w:hAnsiTheme="minorEastAsia" w:cs="宋体" w:hint="eastAsia"/>
          <w:sz w:val="24"/>
          <w:szCs w:val="24"/>
        </w:rPr>
        <w:t>月</w:t>
      </w:r>
      <w:r w:rsidR="00DC3657">
        <w:rPr>
          <w:rFonts w:asciiTheme="minorEastAsia" w:eastAsiaTheme="minorEastAsia" w:hAnsiTheme="minorEastAsia" w:cs="宋体" w:hint="eastAsia"/>
          <w:sz w:val="24"/>
          <w:szCs w:val="24"/>
        </w:rPr>
        <w:t>19</w:t>
      </w:r>
      <w:r w:rsidRPr="001D70D1">
        <w:rPr>
          <w:rFonts w:asciiTheme="minorEastAsia" w:eastAsiaTheme="minorEastAsia" w:hAnsiTheme="minorEastAsia" w:cs="宋体" w:hint="eastAsia"/>
          <w:sz w:val="24"/>
          <w:szCs w:val="24"/>
        </w:rPr>
        <w:t>日</w:t>
      </w:r>
      <w:r w:rsidRPr="001D70D1">
        <w:rPr>
          <w:rFonts w:asciiTheme="minorEastAsia" w:eastAsiaTheme="minorEastAsia" w:hAnsiTheme="minorEastAsia" w:cs="宋体" w:hint="eastAsia"/>
          <w:sz w:val="24"/>
        </w:rPr>
        <w:t>，上午9：00-11：00，下午：14：30-16：30（节假日除外）</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2、购买地点：上饶市吉阳中路100号</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3、标书售价：200元/份，文件售后不退。</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六、投标人购买标书需提供资料：</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1、供应商资格要求1-</w:t>
      </w:r>
      <w:r w:rsidR="00B6570C">
        <w:rPr>
          <w:rFonts w:asciiTheme="minorEastAsia" w:eastAsiaTheme="minorEastAsia" w:hAnsiTheme="minorEastAsia" w:cs="宋体" w:hint="eastAsia"/>
          <w:sz w:val="24"/>
        </w:rPr>
        <w:t>3</w:t>
      </w:r>
      <w:r w:rsidRPr="001D70D1">
        <w:rPr>
          <w:rFonts w:asciiTheme="minorEastAsia" w:eastAsiaTheme="minorEastAsia" w:hAnsiTheme="minorEastAsia" w:cs="宋体" w:hint="eastAsia"/>
          <w:sz w:val="24"/>
        </w:rPr>
        <w:t>条。以上资料复印件加盖单位公章，留于代理机构存档,报名时携带原件查验。</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七、投标文件接收信息：</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szCs w:val="24"/>
        </w:rPr>
      </w:pPr>
      <w:r w:rsidRPr="001D70D1">
        <w:rPr>
          <w:rFonts w:asciiTheme="minorEastAsia" w:eastAsiaTheme="minorEastAsia" w:hAnsiTheme="minorEastAsia" w:cs="宋体" w:hint="eastAsia"/>
          <w:sz w:val="24"/>
          <w:szCs w:val="24"/>
        </w:rPr>
        <w:t>开始接收时间：2019年</w:t>
      </w:r>
      <w:r w:rsidR="00DC3657">
        <w:rPr>
          <w:rFonts w:asciiTheme="minorEastAsia" w:eastAsiaTheme="minorEastAsia" w:hAnsiTheme="minorEastAsia" w:cs="宋体" w:hint="eastAsia"/>
          <w:sz w:val="24"/>
          <w:szCs w:val="24"/>
        </w:rPr>
        <w:t>4</w:t>
      </w:r>
      <w:r w:rsidRPr="001D70D1">
        <w:rPr>
          <w:rFonts w:asciiTheme="minorEastAsia" w:eastAsiaTheme="minorEastAsia" w:hAnsiTheme="minorEastAsia" w:cs="宋体" w:hint="eastAsia"/>
          <w:sz w:val="24"/>
          <w:szCs w:val="24"/>
        </w:rPr>
        <w:t>月</w:t>
      </w:r>
      <w:r w:rsidR="00DC3657">
        <w:rPr>
          <w:rFonts w:asciiTheme="minorEastAsia" w:eastAsiaTheme="minorEastAsia" w:hAnsiTheme="minorEastAsia" w:cs="宋体" w:hint="eastAsia"/>
          <w:sz w:val="24"/>
          <w:szCs w:val="24"/>
        </w:rPr>
        <w:t>26</w:t>
      </w:r>
      <w:r w:rsidRPr="001D70D1">
        <w:rPr>
          <w:rFonts w:asciiTheme="minorEastAsia" w:eastAsiaTheme="minorEastAsia" w:hAnsiTheme="minorEastAsia" w:cs="宋体" w:hint="eastAsia"/>
          <w:sz w:val="24"/>
          <w:szCs w:val="24"/>
        </w:rPr>
        <w:t>日上午9：00</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szCs w:val="24"/>
        </w:rPr>
      </w:pPr>
      <w:r w:rsidRPr="001D70D1">
        <w:rPr>
          <w:rFonts w:asciiTheme="minorEastAsia" w:eastAsiaTheme="minorEastAsia" w:hAnsiTheme="minorEastAsia" w:cs="宋体" w:hint="eastAsia"/>
          <w:sz w:val="24"/>
          <w:szCs w:val="24"/>
        </w:rPr>
        <w:t>截止接收时间：2019年</w:t>
      </w:r>
      <w:r w:rsidR="00DC3657">
        <w:rPr>
          <w:rFonts w:asciiTheme="minorEastAsia" w:eastAsiaTheme="minorEastAsia" w:hAnsiTheme="minorEastAsia" w:cs="宋体" w:hint="eastAsia"/>
          <w:sz w:val="24"/>
          <w:szCs w:val="24"/>
        </w:rPr>
        <w:t>4</w:t>
      </w:r>
      <w:r w:rsidRPr="001D70D1">
        <w:rPr>
          <w:rFonts w:asciiTheme="minorEastAsia" w:eastAsiaTheme="minorEastAsia" w:hAnsiTheme="minorEastAsia" w:cs="宋体" w:hint="eastAsia"/>
          <w:sz w:val="24"/>
          <w:szCs w:val="24"/>
        </w:rPr>
        <w:t>月</w:t>
      </w:r>
      <w:r w:rsidR="00DC3657">
        <w:rPr>
          <w:rFonts w:asciiTheme="minorEastAsia" w:eastAsiaTheme="minorEastAsia" w:hAnsiTheme="minorEastAsia" w:cs="宋体" w:hint="eastAsia"/>
          <w:sz w:val="24"/>
          <w:szCs w:val="24"/>
        </w:rPr>
        <w:t>26</w:t>
      </w:r>
      <w:r w:rsidRPr="001D70D1">
        <w:rPr>
          <w:rFonts w:asciiTheme="minorEastAsia" w:eastAsiaTheme="minorEastAsia" w:hAnsiTheme="minorEastAsia" w:cs="宋体" w:hint="eastAsia"/>
          <w:sz w:val="24"/>
          <w:szCs w:val="24"/>
        </w:rPr>
        <w:t>日上午9：30</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接收地点：铅山县公共资源交易中心</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八、开标有关信息：</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szCs w:val="24"/>
        </w:rPr>
      </w:pPr>
      <w:r w:rsidRPr="001D70D1">
        <w:rPr>
          <w:rFonts w:asciiTheme="minorEastAsia" w:eastAsiaTheme="minorEastAsia" w:hAnsiTheme="minorEastAsia" w:cs="宋体" w:hint="eastAsia"/>
          <w:sz w:val="24"/>
        </w:rPr>
        <w:t>开标时间：</w:t>
      </w:r>
      <w:r w:rsidRPr="001D70D1">
        <w:rPr>
          <w:rFonts w:asciiTheme="minorEastAsia" w:eastAsiaTheme="minorEastAsia" w:hAnsiTheme="minorEastAsia" w:cs="宋体" w:hint="eastAsia"/>
          <w:sz w:val="24"/>
          <w:szCs w:val="24"/>
        </w:rPr>
        <w:t>2019年</w:t>
      </w:r>
      <w:r w:rsidR="00DC3657">
        <w:rPr>
          <w:rFonts w:asciiTheme="minorEastAsia" w:eastAsiaTheme="minorEastAsia" w:hAnsiTheme="minorEastAsia" w:cs="宋体" w:hint="eastAsia"/>
          <w:sz w:val="24"/>
          <w:szCs w:val="24"/>
        </w:rPr>
        <w:t>4</w:t>
      </w:r>
      <w:r w:rsidRPr="001D70D1">
        <w:rPr>
          <w:rFonts w:asciiTheme="minorEastAsia" w:eastAsiaTheme="minorEastAsia" w:hAnsiTheme="minorEastAsia" w:cs="宋体" w:hint="eastAsia"/>
          <w:sz w:val="24"/>
          <w:szCs w:val="24"/>
        </w:rPr>
        <w:t>月</w:t>
      </w:r>
      <w:r w:rsidR="00DC3657">
        <w:rPr>
          <w:rFonts w:asciiTheme="minorEastAsia" w:eastAsiaTheme="minorEastAsia" w:hAnsiTheme="minorEastAsia" w:cs="宋体" w:hint="eastAsia"/>
          <w:sz w:val="24"/>
          <w:szCs w:val="24"/>
        </w:rPr>
        <w:t>26</w:t>
      </w:r>
      <w:r w:rsidRPr="001D70D1">
        <w:rPr>
          <w:rFonts w:asciiTheme="minorEastAsia" w:eastAsiaTheme="minorEastAsia" w:hAnsiTheme="minorEastAsia" w:cs="宋体" w:hint="eastAsia"/>
          <w:sz w:val="24"/>
          <w:szCs w:val="24"/>
        </w:rPr>
        <w:t>日上午9：30</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开标地点：铅山县公共资源交易中心</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九、以上公告内容如有变动，将在相关网络媒体上另行通知。凡领取标书后，对本标书必须仔细阅读。</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十、根据《政府采购促进中小企业发展暂行办法》对小型企业产品的价格给予6%的扣除，用扣除后的价格参与评审。</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采购人名称：上饶市信州区广源电力工程服务有限公司铅山县分公司</w:t>
      </w:r>
    </w:p>
    <w:p w:rsidR="001D70D1" w:rsidRPr="001D70D1" w:rsidRDefault="001D70D1" w:rsidP="001D70D1">
      <w:pPr>
        <w:pStyle w:val="a5"/>
        <w:snapToGrid w:val="0"/>
        <w:spacing w:line="360" w:lineRule="auto"/>
        <w:contextualSpacing/>
        <w:rPr>
          <w:rFonts w:asciiTheme="minorEastAsia" w:eastAsiaTheme="minorEastAsia" w:hAnsiTheme="minorEastAsia" w:cs="宋体"/>
          <w:kern w:val="0"/>
          <w:sz w:val="24"/>
        </w:rPr>
      </w:pPr>
      <w:r w:rsidRPr="001D70D1">
        <w:rPr>
          <w:rFonts w:asciiTheme="minorEastAsia" w:eastAsiaTheme="minorEastAsia" w:hAnsiTheme="minorEastAsia" w:cs="宋体" w:hint="eastAsia"/>
          <w:kern w:val="0"/>
          <w:sz w:val="24"/>
        </w:rPr>
        <w:t>采购单位地址：</w:t>
      </w:r>
      <w:r w:rsidRPr="001D70D1">
        <w:rPr>
          <w:rFonts w:asciiTheme="minorEastAsia" w:eastAsiaTheme="minorEastAsia" w:hAnsiTheme="minorEastAsia" w:cs="宋体"/>
          <w:kern w:val="0"/>
          <w:sz w:val="24"/>
        </w:rPr>
        <w:t>江西省上饶市铅山县河口镇鹅湖大道39号</w:t>
      </w:r>
    </w:p>
    <w:p w:rsidR="001D70D1" w:rsidRPr="001D70D1" w:rsidRDefault="001D70D1" w:rsidP="001D70D1">
      <w:pPr>
        <w:pStyle w:val="a5"/>
        <w:snapToGrid w:val="0"/>
        <w:spacing w:line="360" w:lineRule="auto"/>
        <w:contextualSpacing/>
        <w:rPr>
          <w:rFonts w:asciiTheme="minorEastAsia" w:eastAsiaTheme="minorEastAsia" w:hAnsiTheme="minorEastAsia" w:cs="宋体"/>
          <w:kern w:val="0"/>
          <w:sz w:val="24"/>
        </w:rPr>
      </w:pPr>
      <w:r w:rsidRPr="001D70D1">
        <w:rPr>
          <w:rFonts w:asciiTheme="minorEastAsia" w:eastAsiaTheme="minorEastAsia" w:hAnsiTheme="minorEastAsia" w:cs="宋体" w:hint="eastAsia"/>
          <w:kern w:val="0"/>
          <w:sz w:val="24"/>
        </w:rPr>
        <w:t>采购联系人：张先生                         联系电话：13879347320</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代理机构：上饶市瑞弘招标咨询有限公司</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地址：上饶市吉阳中路100号</w:t>
      </w:r>
    </w:p>
    <w:p w:rsidR="001D70D1" w:rsidRPr="001D70D1" w:rsidRDefault="001D70D1" w:rsidP="001D70D1">
      <w:pPr>
        <w:spacing w:line="360" w:lineRule="auto"/>
        <w:ind w:firstLineChars="200" w:firstLine="480"/>
        <w:contextualSpacing/>
        <w:rPr>
          <w:rFonts w:asciiTheme="minorEastAsia" w:eastAsiaTheme="minorEastAsia" w:hAnsiTheme="minorEastAsia" w:cs="宋体"/>
          <w:sz w:val="24"/>
        </w:rPr>
      </w:pPr>
      <w:r w:rsidRPr="001D70D1">
        <w:rPr>
          <w:rFonts w:asciiTheme="minorEastAsia" w:eastAsiaTheme="minorEastAsia" w:hAnsiTheme="minorEastAsia" w:cs="宋体" w:hint="eastAsia"/>
          <w:sz w:val="24"/>
        </w:rPr>
        <w:t xml:space="preserve">联系人：赵女士                             联系电话：0793-8309996  </w:t>
      </w:r>
    </w:p>
    <w:p w:rsidR="00812C66" w:rsidRPr="001D70D1" w:rsidRDefault="00812C66" w:rsidP="001D70D1">
      <w:pPr>
        <w:spacing w:after="0" w:line="360" w:lineRule="auto"/>
        <w:ind w:firstLineChars="200" w:firstLine="602"/>
        <w:contextualSpacing/>
        <w:rPr>
          <w:rFonts w:asciiTheme="minorEastAsia" w:eastAsiaTheme="minorEastAsia" w:hAnsiTheme="minorEastAsia" w:cs="宋体"/>
          <w:b/>
          <w:sz w:val="30"/>
          <w:szCs w:val="30"/>
        </w:rPr>
      </w:pPr>
    </w:p>
    <w:sectPr w:rsidR="00812C66" w:rsidRPr="001D70D1" w:rsidSect="00C257C6">
      <w:pgSz w:w="11906" w:h="16838"/>
      <w:pgMar w:top="1440" w:right="1558" w:bottom="1440" w:left="1276"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B2" w:rsidRDefault="003E35B2" w:rsidP="00E15E40">
      <w:pPr>
        <w:spacing w:after="0"/>
      </w:pPr>
      <w:r>
        <w:separator/>
      </w:r>
    </w:p>
  </w:endnote>
  <w:endnote w:type="continuationSeparator" w:id="0">
    <w:p w:rsidR="003E35B2" w:rsidRDefault="003E35B2" w:rsidP="00E15E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B2" w:rsidRDefault="003E35B2" w:rsidP="00E15E40">
      <w:pPr>
        <w:spacing w:after="0"/>
      </w:pPr>
      <w:r>
        <w:separator/>
      </w:r>
    </w:p>
  </w:footnote>
  <w:footnote w:type="continuationSeparator" w:id="0">
    <w:p w:rsidR="003E35B2" w:rsidRDefault="003E35B2" w:rsidP="00E15E4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32098"/>
  </w:hdrShapeDefaults>
  <w:footnotePr>
    <w:footnote w:id="-1"/>
    <w:footnote w:id="0"/>
  </w:footnotePr>
  <w:endnotePr>
    <w:endnote w:id="-1"/>
    <w:endnote w:id="0"/>
  </w:endnotePr>
  <w:compat>
    <w:useFELayout/>
  </w:compat>
  <w:rsids>
    <w:rsidRoot w:val="00D31D50"/>
    <w:rsid w:val="000028DA"/>
    <w:rsid w:val="000150FD"/>
    <w:rsid w:val="0004712A"/>
    <w:rsid w:val="00053BB0"/>
    <w:rsid w:val="0006692A"/>
    <w:rsid w:val="000A0C86"/>
    <w:rsid w:val="000A353F"/>
    <w:rsid w:val="000B65E6"/>
    <w:rsid w:val="001272BC"/>
    <w:rsid w:val="00134ACD"/>
    <w:rsid w:val="001564AB"/>
    <w:rsid w:val="001573D7"/>
    <w:rsid w:val="00174A6D"/>
    <w:rsid w:val="0017675E"/>
    <w:rsid w:val="001B7002"/>
    <w:rsid w:val="001D70D1"/>
    <w:rsid w:val="001E1D62"/>
    <w:rsid w:val="001F574B"/>
    <w:rsid w:val="00200B32"/>
    <w:rsid w:val="00201A18"/>
    <w:rsid w:val="002275BB"/>
    <w:rsid w:val="00231580"/>
    <w:rsid w:val="00250841"/>
    <w:rsid w:val="00277E91"/>
    <w:rsid w:val="0028646E"/>
    <w:rsid w:val="002A467E"/>
    <w:rsid w:val="002D54CE"/>
    <w:rsid w:val="002E2FEB"/>
    <w:rsid w:val="002E496E"/>
    <w:rsid w:val="002F0DB0"/>
    <w:rsid w:val="002F5481"/>
    <w:rsid w:val="002F6A93"/>
    <w:rsid w:val="00306678"/>
    <w:rsid w:val="00310411"/>
    <w:rsid w:val="00323573"/>
    <w:rsid w:val="00323B43"/>
    <w:rsid w:val="00335070"/>
    <w:rsid w:val="0034286F"/>
    <w:rsid w:val="0034552A"/>
    <w:rsid w:val="00364B34"/>
    <w:rsid w:val="00371B73"/>
    <w:rsid w:val="00376E77"/>
    <w:rsid w:val="003B2B87"/>
    <w:rsid w:val="003C0E67"/>
    <w:rsid w:val="003D1085"/>
    <w:rsid w:val="003D37D8"/>
    <w:rsid w:val="003E35B2"/>
    <w:rsid w:val="003E6D62"/>
    <w:rsid w:val="003E774B"/>
    <w:rsid w:val="00407B25"/>
    <w:rsid w:val="00412432"/>
    <w:rsid w:val="0042312A"/>
    <w:rsid w:val="00426133"/>
    <w:rsid w:val="004351C8"/>
    <w:rsid w:val="004358AB"/>
    <w:rsid w:val="00451AF7"/>
    <w:rsid w:val="004520E6"/>
    <w:rsid w:val="004828F7"/>
    <w:rsid w:val="00483A05"/>
    <w:rsid w:val="004A7908"/>
    <w:rsid w:val="004C6C72"/>
    <w:rsid w:val="004C7F5B"/>
    <w:rsid w:val="004E2A2A"/>
    <w:rsid w:val="0052583C"/>
    <w:rsid w:val="00536E08"/>
    <w:rsid w:val="005370EB"/>
    <w:rsid w:val="00563FEC"/>
    <w:rsid w:val="00564559"/>
    <w:rsid w:val="00565528"/>
    <w:rsid w:val="00566B7E"/>
    <w:rsid w:val="005718BD"/>
    <w:rsid w:val="00591CC7"/>
    <w:rsid w:val="00592D1C"/>
    <w:rsid w:val="005A20AC"/>
    <w:rsid w:val="005A5F42"/>
    <w:rsid w:val="005E1CDA"/>
    <w:rsid w:val="005F1B87"/>
    <w:rsid w:val="005F351E"/>
    <w:rsid w:val="00621602"/>
    <w:rsid w:val="006361FA"/>
    <w:rsid w:val="00653E80"/>
    <w:rsid w:val="006A2B1E"/>
    <w:rsid w:val="006A50B2"/>
    <w:rsid w:val="006A7FFC"/>
    <w:rsid w:val="006D3FA8"/>
    <w:rsid w:val="00720C15"/>
    <w:rsid w:val="00737B2D"/>
    <w:rsid w:val="00741EC0"/>
    <w:rsid w:val="00742B02"/>
    <w:rsid w:val="00754AF1"/>
    <w:rsid w:val="007610EF"/>
    <w:rsid w:val="00783B99"/>
    <w:rsid w:val="007909C4"/>
    <w:rsid w:val="00790F53"/>
    <w:rsid w:val="007928D0"/>
    <w:rsid w:val="007B4982"/>
    <w:rsid w:val="007D1FD6"/>
    <w:rsid w:val="0080531C"/>
    <w:rsid w:val="00812C66"/>
    <w:rsid w:val="00830878"/>
    <w:rsid w:val="00835067"/>
    <w:rsid w:val="00843779"/>
    <w:rsid w:val="008938C7"/>
    <w:rsid w:val="008B7726"/>
    <w:rsid w:val="008F4198"/>
    <w:rsid w:val="0091002F"/>
    <w:rsid w:val="00912117"/>
    <w:rsid w:val="009368F8"/>
    <w:rsid w:val="0096538C"/>
    <w:rsid w:val="0096550D"/>
    <w:rsid w:val="009726E8"/>
    <w:rsid w:val="0099431B"/>
    <w:rsid w:val="009B0FAF"/>
    <w:rsid w:val="009B708D"/>
    <w:rsid w:val="009B79ED"/>
    <w:rsid w:val="00A013E1"/>
    <w:rsid w:val="00A05F9A"/>
    <w:rsid w:val="00A41271"/>
    <w:rsid w:val="00A90BFC"/>
    <w:rsid w:val="00A95EAD"/>
    <w:rsid w:val="00A97D23"/>
    <w:rsid w:val="00AA15D0"/>
    <w:rsid w:val="00AD68AE"/>
    <w:rsid w:val="00AF00B5"/>
    <w:rsid w:val="00B10B56"/>
    <w:rsid w:val="00B15742"/>
    <w:rsid w:val="00B23C0A"/>
    <w:rsid w:val="00B42E4B"/>
    <w:rsid w:val="00B566F7"/>
    <w:rsid w:val="00B60FE9"/>
    <w:rsid w:val="00B6570C"/>
    <w:rsid w:val="00BA3B8B"/>
    <w:rsid w:val="00BC1F13"/>
    <w:rsid w:val="00BD4848"/>
    <w:rsid w:val="00BE07E4"/>
    <w:rsid w:val="00BF6A44"/>
    <w:rsid w:val="00BF7DC9"/>
    <w:rsid w:val="00C13061"/>
    <w:rsid w:val="00C13CBE"/>
    <w:rsid w:val="00C204AC"/>
    <w:rsid w:val="00C257C6"/>
    <w:rsid w:val="00C37A9C"/>
    <w:rsid w:val="00C431D9"/>
    <w:rsid w:val="00C642EF"/>
    <w:rsid w:val="00CC6979"/>
    <w:rsid w:val="00CD20C0"/>
    <w:rsid w:val="00CF692C"/>
    <w:rsid w:val="00D31D50"/>
    <w:rsid w:val="00D3493E"/>
    <w:rsid w:val="00D358E0"/>
    <w:rsid w:val="00D546C7"/>
    <w:rsid w:val="00DA4423"/>
    <w:rsid w:val="00DA5D84"/>
    <w:rsid w:val="00DB0C4F"/>
    <w:rsid w:val="00DC2972"/>
    <w:rsid w:val="00DC3657"/>
    <w:rsid w:val="00E15E40"/>
    <w:rsid w:val="00E317B7"/>
    <w:rsid w:val="00E73986"/>
    <w:rsid w:val="00E77D52"/>
    <w:rsid w:val="00EB0746"/>
    <w:rsid w:val="00EF596A"/>
    <w:rsid w:val="00F21B00"/>
    <w:rsid w:val="00F504AD"/>
    <w:rsid w:val="00FA7728"/>
    <w:rsid w:val="00FB692D"/>
    <w:rsid w:val="00FB6C41"/>
    <w:rsid w:val="00FD04E0"/>
    <w:rsid w:val="00FD797C"/>
    <w:rsid w:val="00FF0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5E4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15E40"/>
    <w:rPr>
      <w:rFonts w:ascii="Tahoma" w:hAnsi="Tahoma"/>
      <w:sz w:val="18"/>
      <w:szCs w:val="18"/>
    </w:rPr>
  </w:style>
  <w:style w:type="paragraph" w:styleId="a4">
    <w:name w:val="footer"/>
    <w:basedOn w:val="a"/>
    <w:link w:val="Char0"/>
    <w:uiPriority w:val="99"/>
    <w:semiHidden/>
    <w:unhideWhenUsed/>
    <w:rsid w:val="00E15E40"/>
    <w:pPr>
      <w:tabs>
        <w:tab w:val="center" w:pos="4153"/>
        <w:tab w:val="right" w:pos="8306"/>
      </w:tabs>
    </w:pPr>
    <w:rPr>
      <w:sz w:val="18"/>
      <w:szCs w:val="18"/>
    </w:rPr>
  </w:style>
  <w:style w:type="character" w:customStyle="1" w:styleId="Char0">
    <w:name w:val="页脚 Char"/>
    <w:basedOn w:val="a0"/>
    <w:link w:val="a4"/>
    <w:uiPriority w:val="99"/>
    <w:semiHidden/>
    <w:rsid w:val="00E15E40"/>
    <w:rPr>
      <w:rFonts w:ascii="Tahoma" w:hAnsi="Tahoma"/>
      <w:sz w:val="18"/>
      <w:szCs w:val="18"/>
    </w:rPr>
  </w:style>
  <w:style w:type="paragraph" w:styleId="2">
    <w:name w:val="Body Text Indent 2"/>
    <w:basedOn w:val="a"/>
    <w:link w:val="2Char"/>
    <w:rsid w:val="00B10B56"/>
    <w:pPr>
      <w:widowControl w:val="0"/>
      <w:adjustRightInd/>
      <w:snapToGrid/>
      <w:spacing w:after="0" w:line="312" w:lineRule="auto"/>
      <w:ind w:firstLineChars="200" w:firstLine="480"/>
      <w:jc w:val="both"/>
    </w:pPr>
    <w:rPr>
      <w:rFonts w:ascii="Times New Roman" w:eastAsia="宋体" w:hAnsi="Times New Roman" w:cs="Times New Roman"/>
      <w:kern w:val="2"/>
      <w:sz w:val="24"/>
      <w:szCs w:val="20"/>
    </w:rPr>
  </w:style>
  <w:style w:type="character" w:customStyle="1" w:styleId="2Char">
    <w:name w:val="正文文本缩进 2 Char"/>
    <w:basedOn w:val="a0"/>
    <w:link w:val="2"/>
    <w:rsid w:val="00B10B56"/>
    <w:rPr>
      <w:rFonts w:ascii="Times New Roman" w:eastAsia="宋体" w:hAnsi="Times New Roman" w:cs="Times New Roman"/>
      <w:kern w:val="2"/>
      <w:sz w:val="24"/>
      <w:szCs w:val="20"/>
    </w:rPr>
  </w:style>
  <w:style w:type="paragraph" w:styleId="a5">
    <w:name w:val="Normal Indent"/>
    <w:basedOn w:val="a"/>
    <w:qFormat/>
    <w:rsid w:val="00FF00C7"/>
    <w:pPr>
      <w:widowControl w:val="0"/>
      <w:adjustRightInd/>
      <w:snapToGrid/>
      <w:spacing w:after="0"/>
      <w:ind w:firstLine="420"/>
      <w:jc w:val="both"/>
    </w:pPr>
    <w:rPr>
      <w:rFonts w:ascii="Times New Roman" w:eastAsia="宋体" w:hAnsi="Times New Roman" w:cs="Times New Roman"/>
      <w:kern w:val="2"/>
      <w:sz w:val="21"/>
      <w:szCs w:val="20"/>
    </w:rPr>
  </w:style>
  <w:style w:type="character" w:customStyle="1" w:styleId="Char1">
    <w:name w:val="批注主题 Char"/>
    <w:basedOn w:val="Char2"/>
    <w:link w:val="a6"/>
    <w:rsid w:val="0096538C"/>
    <w:rPr>
      <w:b/>
      <w:bCs/>
      <w:kern w:val="2"/>
      <w:sz w:val="21"/>
    </w:rPr>
  </w:style>
  <w:style w:type="paragraph" w:styleId="a7">
    <w:name w:val="annotation text"/>
    <w:basedOn w:val="a"/>
    <w:link w:val="Char2"/>
    <w:uiPriority w:val="99"/>
    <w:semiHidden/>
    <w:unhideWhenUsed/>
    <w:rsid w:val="0096538C"/>
  </w:style>
  <w:style w:type="character" w:customStyle="1" w:styleId="Char2">
    <w:name w:val="批注文字 Char"/>
    <w:basedOn w:val="a0"/>
    <w:link w:val="a7"/>
    <w:uiPriority w:val="99"/>
    <w:semiHidden/>
    <w:rsid w:val="0096538C"/>
    <w:rPr>
      <w:rFonts w:ascii="Tahoma" w:hAnsi="Tahoma"/>
    </w:rPr>
  </w:style>
  <w:style w:type="paragraph" w:styleId="a6">
    <w:name w:val="annotation subject"/>
    <w:basedOn w:val="a7"/>
    <w:next w:val="a7"/>
    <w:link w:val="Char1"/>
    <w:rsid w:val="0096538C"/>
    <w:pPr>
      <w:widowControl w:val="0"/>
      <w:adjustRightInd/>
      <w:snapToGrid/>
      <w:spacing w:after="0"/>
    </w:pPr>
    <w:rPr>
      <w:rFonts w:asciiTheme="minorHAnsi" w:hAnsiTheme="minorHAnsi"/>
      <w:b/>
      <w:bCs/>
      <w:kern w:val="2"/>
      <w:sz w:val="21"/>
    </w:rPr>
  </w:style>
  <w:style w:type="character" w:customStyle="1" w:styleId="Char10">
    <w:name w:val="批注主题 Char1"/>
    <w:basedOn w:val="Char2"/>
    <w:link w:val="a6"/>
    <w:uiPriority w:val="99"/>
    <w:semiHidden/>
    <w:rsid w:val="0096538C"/>
    <w:rPr>
      <w:b/>
      <w:bCs/>
    </w:rPr>
  </w:style>
  <w:style w:type="paragraph" w:styleId="a8">
    <w:name w:val="Normal (Web)"/>
    <w:basedOn w:val="a"/>
    <w:uiPriority w:val="99"/>
    <w:rsid w:val="001D70D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107</cp:revision>
  <cp:lastPrinted>2019-01-15T09:32:00Z</cp:lastPrinted>
  <dcterms:created xsi:type="dcterms:W3CDTF">2008-09-11T17:20:00Z</dcterms:created>
  <dcterms:modified xsi:type="dcterms:W3CDTF">2019-04-16T09:49:00Z</dcterms:modified>
</cp:coreProperties>
</file>