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2E" w:rsidRPr="0027652E" w:rsidRDefault="0027652E" w:rsidP="0027652E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  <w:r w:rsidRPr="0027652E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附表1、包件划分。</w:t>
      </w:r>
    </w:p>
    <w:p w:rsidR="0027652E" w:rsidRDefault="0027652E"/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1340"/>
        <w:gridCol w:w="1179"/>
        <w:gridCol w:w="797"/>
        <w:gridCol w:w="1184"/>
        <w:gridCol w:w="1982"/>
        <w:gridCol w:w="1094"/>
        <w:gridCol w:w="1353"/>
      </w:tblGrid>
      <w:tr w:rsidR="0027652E" w:rsidRPr="00391D19" w:rsidTr="00B80E0B">
        <w:trPr>
          <w:trHeight w:val="6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物资名称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包件号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计量单位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包件</w:t>
            </w:r>
          </w:p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数量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收货人名称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招标文件售价（元）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投标保证金（万元）</w:t>
            </w:r>
          </w:p>
        </w:tc>
      </w:tr>
      <w:tr w:rsidR="0027652E" w:rsidRPr="00391D19" w:rsidTr="00B80E0B">
        <w:trPr>
          <w:trHeight w:val="78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直流</w:t>
            </w:r>
            <w:r w:rsidRPr="00391D19"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  <w:t>电缆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DL</w:t>
            </w:r>
            <w:r w:rsidRPr="00391D19"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  <w:t>13600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杭州至临安城际铁路工程</w:t>
            </w:r>
            <w:r w:rsidRPr="00391D19"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SGHL-1 </w:t>
            </w: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标项目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10</w:t>
            </w: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10</w:t>
            </w:r>
          </w:p>
        </w:tc>
      </w:tr>
      <w:tr w:rsidR="0027652E" w:rsidRPr="00391D19" w:rsidTr="00B80E0B">
        <w:trPr>
          <w:trHeight w:val="78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动力电缆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DL</w:t>
            </w:r>
            <w:r w:rsidRPr="00391D19"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929230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1000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E" w:rsidRPr="00391D19" w:rsidRDefault="0027652E" w:rsidP="00B80E0B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  <w:r w:rsidRPr="00391D19">
              <w:rPr>
                <w:rFonts w:ascii="宋体" w:hAnsi="宋体" w:cs="Tahoma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</w:tr>
    </w:tbl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27652E" w:rsidRDefault="0027652E" w:rsidP="000E5ACB">
      <w:pPr>
        <w:spacing w:line="400" w:lineRule="exact"/>
        <w:ind w:right="561"/>
        <w:jc w:val="left"/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</w:pPr>
    </w:p>
    <w:p w:rsidR="000E5ACB" w:rsidRPr="00391D19" w:rsidRDefault="000E5ACB" w:rsidP="000E5ACB">
      <w:pPr>
        <w:spacing w:line="400" w:lineRule="exact"/>
        <w:ind w:right="561"/>
        <w:jc w:val="left"/>
        <w:rPr>
          <w:rFonts w:ascii="新宋体" w:eastAsia="新宋体" w:hAnsi="新宋体" w:cs="新宋体"/>
          <w:color w:val="000000"/>
          <w:sz w:val="28"/>
          <w:szCs w:val="28"/>
        </w:rPr>
      </w:pP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lastRenderedPageBreak/>
        <w:t>附表</w:t>
      </w:r>
      <w:r w:rsidR="0027652E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2、</w:t>
      </w:r>
      <w:r w:rsidRPr="00391D19">
        <w:rPr>
          <w:rFonts w:ascii="宋体" w:hAnsi="宋体" w:cs="宋体" w:hint="eastAsia"/>
          <w:color w:val="000000"/>
          <w:sz w:val="28"/>
          <w:szCs w:val="28"/>
          <w:lang w:bidi="ar"/>
        </w:rPr>
        <w:t>招标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物资</w:t>
      </w:r>
      <w:r w:rsidRPr="00391D19">
        <w:rPr>
          <w:rFonts w:ascii="宋体" w:hAnsi="宋体" w:cs="宋体" w:hint="eastAsia"/>
          <w:color w:val="000000"/>
          <w:sz w:val="28"/>
          <w:szCs w:val="28"/>
          <w:lang w:bidi="ar"/>
        </w:rPr>
        <w:t>包件清单</w:t>
      </w: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 xml:space="preserve">        </w:t>
      </w:r>
      <w:r w:rsidRPr="00391D19">
        <w:rPr>
          <w:rFonts w:ascii="新宋体" w:eastAsia="新宋体" w:hAnsi="新宋体" w:cs="新宋体" w:hint="eastAsia"/>
          <w:b/>
          <w:color w:val="000000"/>
          <w:sz w:val="28"/>
          <w:szCs w:val="28"/>
          <w:lang w:bidi="ar"/>
        </w:rPr>
        <w:t xml:space="preserve"> </w:t>
      </w: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 xml:space="preserve">        </w:t>
      </w:r>
    </w:p>
    <w:p w:rsidR="000E5ACB" w:rsidRPr="00391D19" w:rsidRDefault="000E5ACB" w:rsidP="000E5ACB">
      <w:pPr>
        <w:spacing w:line="400" w:lineRule="exact"/>
        <w:ind w:right="561"/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 xml:space="preserve"> </w:t>
      </w:r>
    </w:p>
    <w:p w:rsidR="000E5ACB" w:rsidRPr="00391D19" w:rsidRDefault="000E5ACB" w:rsidP="000E5ACB">
      <w:pPr>
        <w:spacing w:line="400" w:lineRule="exact"/>
        <w:ind w:right="561" w:firstLineChars="50" w:firstLine="140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  <w:r w:rsidRPr="00391D19">
        <w:rPr>
          <w:rFonts w:ascii="新宋体" w:eastAsia="新宋体" w:hAnsi="新宋体" w:cs="新宋体"/>
          <w:color w:val="000000"/>
          <w:sz w:val="28"/>
          <w:szCs w:val="28"/>
          <w:lang w:bidi="ar"/>
        </w:rPr>
        <w:tab/>
      </w: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包件1：</w:t>
      </w: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DL</w:t>
      </w:r>
      <w:r w:rsidRPr="00391D19"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  <w:t>01</w:t>
      </w:r>
      <w:r w:rsidRPr="00391D19">
        <w:rPr>
          <w:rFonts w:ascii="新宋体" w:eastAsia="新宋体" w:hAnsi="新宋体" w:cs="新宋体" w:hint="eastAsia"/>
          <w:b/>
          <w:color w:val="000000"/>
          <w:sz w:val="32"/>
          <w:szCs w:val="32"/>
          <w:lang w:bidi="ar"/>
        </w:rPr>
        <w:t>清单</w:t>
      </w: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tbl>
      <w:tblPr>
        <w:tblW w:w="11000" w:type="dxa"/>
        <w:jc w:val="center"/>
        <w:tblInd w:w="103" w:type="dxa"/>
        <w:tblLook w:val="0000" w:firstRow="0" w:lastRow="0" w:firstColumn="0" w:lastColumn="0" w:noHBand="0" w:noVBand="0"/>
      </w:tblPr>
      <w:tblGrid>
        <w:gridCol w:w="680"/>
        <w:gridCol w:w="1137"/>
        <w:gridCol w:w="4403"/>
        <w:gridCol w:w="1080"/>
        <w:gridCol w:w="1080"/>
        <w:gridCol w:w="949"/>
        <w:gridCol w:w="1671"/>
      </w:tblGrid>
      <w:tr w:rsidR="000E5ACB" w:rsidRPr="00391D19" w:rsidTr="006025A0">
        <w:trPr>
          <w:trHeight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物资</w:t>
            </w:r>
          </w:p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质量标准/技术要求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计量</w:t>
            </w:r>
          </w:p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暂定</w:t>
            </w:r>
          </w:p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使用位置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供货时间</w:t>
            </w:r>
          </w:p>
        </w:tc>
      </w:tr>
      <w:tr w:rsidR="000E5ACB" w:rsidRPr="00391D19" w:rsidTr="006025A0">
        <w:trPr>
          <w:trHeight w:val="45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DC1500V</w:t>
            </w:r>
            <w:r w:rsidRPr="00391D19">
              <w:rPr>
                <w:color w:val="000000"/>
                <w:sz w:val="22"/>
                <w:szCs w:val="22"/>
              </w:rPr>
              <w:t>直流电缆</w:t>
            </w:r>
            <w:r w:rsidRPr="00391D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rPr>
                <w:color w:val="00000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单芯、</w:t>
            </w:r>
            <w:r w:rsidRPr="00391D19">
              <w:rPr>
                <w:color w:val="000000"/>
                <w:sz w:val="22"/>
                <w:szCs w:val="22"/>
              </w:rPr>
              <w:t xml:space="preserve"> EPR</w:t>
            </w:r>
            <w:r w:rsidRPr="00391D19">
              <w:rPr>
                <w:color w:val="000000"/>
                <w:sz w:val="22"/>
                <w:szCs w:val="22"/>
              </w:rPr>
              <w:t>绝缘、</w:t>
            </w:r>
            <w:r w:rsidRPr="00391D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91D19">
              <w:rPr>
                <w:color w:val="000000"/>
                <w:sz w:val="22"/>
                <w:szCs w:val="22"/>
              </w:rPr>
              <w:t>低烟低卤</w:t>
            </w:r>
            <w:proofErr w:type="gramEnd"/>
            <w:r w:rsidRPr="00391D19">
              <w:rPr>
                <w:color w:val="000000"/>
                <w:sz w:val="22"/>
                <w:szCs w:val="22"/>
              </w:rPr>
              <w:t>B</w:t>
            </w:r>
            <w:r w:rsidRPr="00391D19">
              <w:rPr>
                <w:color w:val="000000"/>
                <w:sz w:val="22"/>
                <w:szCs w:val="22"/>
              </w:rPr>
              <w:t>类阻燃软电缆，截面为</w:t>
            </w:r>
            <w:r w:rsidRPr="00391D19">
              <w:rPr>
                <w:color w:val="000000"/>
                <w:sz w:val="22"/>
                <w:szCs w:val="22"/>
              </w:rPr>
              <w:t>150mm2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jc w:val="center"/>
              <w:rPr>
                <w:color w:val="00000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jc w:val="center"/>
              <w:rPr>
                <w:color w:val="00000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11600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hint="eastAsia"/>
                <w:color w:val="000000"/>
                <w:kern w:val="0"/>
                <w:sz w:val="22"/>
                <w:szCs w:val="22"/>
              </w:rPr>
              <w:t>电气化</w:t>
            </w:r>
            <w:r w:rsidRPr="00391D19">
              <w:rPr>
                <w:color w:val="000000"/>
                <w:kern w:val="0"/>
                <w:sz w:val="22"/>
                <w:szCs w:val="22"/>
              </w:rPr>
              <w:t>铁路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1D19">
              <w:rPr>
                <w:rFonts w:ascii="宋体" w:hAnsi="宋体" w:hint="eastAsia"/>
                <w:color w:val="000000"/>
                <w:sz w:val="24"/>
              </w:rPr>
              <w:t>以甲方书面通知为准</w:t>
            </w:r>
          </w:p>
        </w:tc>
      </w:tr>
      <w:tr w:rsidR="000E5ACB" w:rsidRPr="00391D19" w:rsidTr="006025A0">
        <w:trPr>
          <w:trHeight w:val="45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jc w:val="left"/>
              <w:rPr>
                <w:color w:val="00000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DC1500V</w:t>
            </w:r>
            <w:r w:rsidRPr="00391D19">
              <w:rPr>
                <w:color w:val="000000"/>
                <w:sz w:val="22"/>
                <w:szCs w:val="22"/>
              </w:rPr>
              <w:t>直流电缆</w:t>
            </w:r>
            <w:r w:rsidRPr="00391D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rPr>
                <w:color w:val="00000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单芯、</w:t>
            </w:r>
            <w:r w:rsidRPr="00391D19">
              <w:rPr>
                <w:color w:val="000000"/>
                <w:sz w:val="22"/>
                <w:szCs w:val="22"/>
              </w:rPr>
              <w:t xml:space="preserve"> EPR</w:t>
            </w:r>
            <w:r w:rsidRPr="00391D19">
              <w:rPr>
                <w:color w:val="000000"/>
                <w:sz w:val="22"/>
                <w:szCs w:val="22"/>
              </w:rPr>
              <w:t>绝缘、</w:t>
            </w:r>
            <w:r w:rsidRPr="00391D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91D19">
              <w:rPr>
                <w:color w:val="000000"/>
                <w:sz w:val="22"/>
                <w:szCs w:val="22"/>
              </w:rPr>
              <w:t>低烟低卤</w:t>
            </w:r>
            <w:proofErr w:type="gramEnd"/>
            <w:r w:rsidRPr="00391D19">
              <w:rPr>
                <w:color w:val="000000"/>
                <w:sz w:val="22"/>
                <w:szCs w:val="22"/>
              </w:rPr>
              <w:t>B</w:t>
            </w:r>
            <w:r w:rsidRPr="00391D19">
              <w:rPr>
                <w:color w:val="000000"/>
                <w:sz w:val="22"/>
                <w:szCs w:val="22"/>
              </w:rPr>
              <w:t>类阻燃软电缆，截面为</w:t>
            </w:r>
            <w:r w:rsidRPr="00391D19">
              <w:rPr>
                <w:color w:val="000000"/>
                <w:sz w:val="22"/>
                <w:szCs w:val="22"/>
              </w:rPr>
              <w:t>400mm2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jc w:val="center"/>
              <w:rPr>
                <w:color w:val="00000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ACB" w:rsidRPr="00391D19" w:rsidRDefault="000E5ACB" w:rsidP="006025A0">
            <w:pPr>
              <w:jc w:val="center"/>
              <w:rPr>
                <w:color w:val="000000"/>
                <w:sz w:val="22"/>
                <w:szCs w:val="22"/>
              </w:rPr>
            </w:pPr>
            <w:r w:rsidRPr="00391D19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hint="eastAsia"/>
                <w:color w:val="000000"/>
                <w:kern w:val="0"/>
                <w:sz w:val="22"/>
                <w:szCs w:val="22"/>
              </w:rPr>
              <w:t>电气化</w:t>
            </w:r>
            <w:r w:rsidRPr="00391D19">
              <w:rPr>
                <w:color w:val="000000"/>
                <w:kern w:val="0"/>
                <w:sz w:val="22"/>
                <w:szCs w:val="22"/>
              </w:rPr>
              <w:t>铁路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1D19">
              <w:rPr>
                <w:rFonts w:ascii="宋体" w:hAnsi="宋体" w:hint="eastAsia"/>
                <w:color w:val="000000"/>
                <w:sz w:val="24"/>
              </w:rPr>
              <w:t>以甲方书面通知为准</w:t>
            </w:r>
          </w:p>
        </w:tc>
      </w:tr>
    </w:tbl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spacing w:line="400" w:lineRule="exact"/>
        <w:ind w:right="561" w:firstLineChars="50" w:firstLine="161"/>
        <w:jc w:val="center"/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</w:pPr>
    </w:p>
    <w:p w:rsidR="000E5ACB" w:rsidRPr="00391D19" w:rsidRDefault="000E5ACB" w:rsidP="000E5ACB">
      <w:pPr>
        <w:tabs>
          <w:tab w:val="left" w:pos="1395"/>
        </w:tabs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 xml:space="preserve">                                    包件2：  </w:t>
      </w:r>
      <w:r>
        <w:rPr>
          <w:rFonts w:ascii="新宋体" w:eastAsia="新宋体" w:hAnsi="新宋体" w:cs="新宋体" w:hint="eastAsia"/>
          <w:b/>
          <w:color w:val="000000"/>
          <w:sz w:val="32"/>
          <w:szCs w:val="32"/>
          <w:lang w:bidi="ar"/>
        </w:rPr>
        <w:t>DL</w:t>
      </w:r>
      <w:r w:rsidRPr="00391D19">
        <w:rPr>
          <w:rFonts w:ascii="新宋体" w:eastAsia="新宋体" w:hAnsi="新宋体" w:cs="新宋体"/>
          <w:b/>
          <w:color w:val="000000"/>
          <w:sz w:val="32"/>
          <w:szCs w:val="32"/>
          <w:lang w:bidi="ar"/>
        </w:rPr>
        <w:t>0</w:t>
      </w:r>
      <w:r w:rsidRPr="00391D19">
        <w:rPr>
          <w:rFonts w:ascii="新宋体" w:eastAsia="新宋体" w:hAnsi="新宋体" w:cs="新宋体" w:hint="eastAsia"/>
          <w:b/>
          <w:color w:val="000000"/>
          <w:sz w:val="32"/>
          <w:szCs w:val="32"/>
          <w:lang w:bidi="ar"/>
        </w:rPr>
        <w:t>2清单</w:t>
      </w:r>
    </w:p>
    <w:tbl>
      <w:tblPr>
        <w:tblW w:w="12000" w:type="dxa"/>
        <w:jc w:val="center"/>
        <w:tblInd w:w="113" w:type="dxa"/>
        <w:tblLook w:val="04A0" w:firstRow="1" w:lastRow="0" w:firstColumn="1" w:lastColumn="0" w:noHBand="0" w:noVBand="1"/>
      </w:tblPr>
      <w:tblGrid>
        <w:gridCol w:w="780"/>
        <w:gridCol w:w="1420"/>
        <w:gridCol w:w="3360"/>
        <w:gridCol w:w="1380"/>
        <w:gridCol w:w="1380"/>
        <w:gridCol w:w="1380"/>
        <w:gridCol w:w="1420"/>
        <w:gridCol w:w="880"/>
      </w:tblGrid>
      <w:tr w:rsidR="000E5ACB" w:rsidRPr="00717B5E" w:rsidTr="006025A0">
        <w:trPr>
          <w:trHeight w:val="7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质量标准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暂定数量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暂定供货时间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 0.6/1kV 4×70+1×35mm2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物资名称与型号规格不一致的以型号规格</w:t>
            </w: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为准</w:t>
            </w: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 0.6/1kV 4×50+1×25mm2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类绝缘布电线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WDZB-BYJ 450/750V 2.5mm2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61,065.00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类绝缘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布电线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WDZB-BYJ 450/750V 4mm2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385,675.00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5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17B5E">
              <w:rPr>
                <w:rFonts w:ascii="宋体" w:hAnsi="宋体" w:cs="Arial" w:hint="eastAsia"/>
                <w:kern w:val="0"/>
                <w:sz w:val="18"/>
                <w:szCs w:val="18"/>
              </w:rPr>
              <w:t>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WDZBN-YJV23-0.6/1kV 3x120+1x70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3,400.00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WDZBN-YJV23 0.6/1kV 5×16mm2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1,540.00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WDZB-YJY23-0.6/1.0kV-2x16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铜芯聚氯乙烯绝缘聚氯乙烯护套编织屏蔽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耐火控制电缆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WDZRN-KVVRP-12x2.5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7,200.00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铜芯聚氯乙烯绝缘聚氯乙烯护套编织屏蔽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耐火控制电缆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WDZRNH-KYJY23-12x2.5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7,200.00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WDZRB-YJV23-0.6/1kV 4X25+1x16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1,750.00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5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铜芯橡皮软线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BXR 500V 1.5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㎜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2 7/0.52mm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1,050.00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WDZB-YJY-0.6/1.0kV-4x150+1x120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4×185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1×95mm2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1kV 5×10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7,735.00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1kV 5×16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5,755.00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3×4mm2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3,900.00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 0.6/1KV 4×35+1×16mm2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 0.6/1KV 4×150+1×70mm2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1,180.00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 0.6/1kV 4×95+1×50mm2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WDZB-YJY-0.6/1kV 5×4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WDZB-YJY-0.6/1kV 5×6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2,040.00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WDZB-YJY23 1kV 4×4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WDZB-YJY-0.6/1kV 3×6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1kV 3×50+2×25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WDZB-YJY-0.6/1kV 3×25+2×16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 0.6/1kV 1×16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WDZB-BYJ-0.45/0.75kV-2x1.5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4×240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1×120mm2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5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普通型聚氯乙烯护套软线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227IEC53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（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RVV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）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 xml:space="preserve"> 300/500V 4×0.75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㎜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4,920.00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类绝缘布电线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WDZB-BYJ-450/750V 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68,690.00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类耐火绝缘布电线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WDZBN-BYJ-450/750V 2.5mm2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127,130.00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类耐火绝缘布电线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WDZBN-BYJ-450/750V 4mm2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103,715.00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WDZBN-YJY23 0.6/1kV 3×35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类绝缘布电线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WDZB-BYJ-450/750V 10mm2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84,235.00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WDZBN-YJY23 1kV 4×16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3,420.00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WDZBN-YJY23 1kV 4×10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1,750.00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WDZBN-YJY23 0.6/1kV 4×185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1×95mm2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3,250.00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WDZBN-YJY23 0.6/1kV 4×25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1,750.00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3×240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1×120mm2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1,740.00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3×150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1×70mm2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3×120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1×70mm2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3×35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2,200.00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WDZB-YJY23 0.6/1kV 3×25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5×16mm2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5×10mm2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3×95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1×50mm2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3×70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1×35mm2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3×50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1×25mm2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0.6/1kV 4×16mm2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1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钢带铠装聚乙烯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级耐火电力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WDZBN-YJY23 0.6/1kV 3×150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＋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1×70mm2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3,800.00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铜芯交联聚乙烯绝缘聚乙烯内护层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钢带铠装聚烯烃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外护套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级电力电缆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WDZB-YJY23 1kV 3×95+2×50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1,750.00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类绝缘布电线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WDZB-BYJ 450/750V 25mm2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6,380.00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WDZBN-YJY-0.6/1kV 4×25+1×16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WDZBN-YJY-0.6/1kV 4×70+1×35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WDZBN-YJY-0.6/1kV 4×50+1×25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铜芯交联聚乙烯绝缘聚烯烃护套</w:t>
            </w:r>
            <w:proofErr w:type="gramStart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无卤低烟阻燃</w:t>
            </w:r>
            <w:proofErr w:type="gramEnd"/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B</w:t>
            </w: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类耐火电力电缆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WDZBN-YJY-0.6/1kV 5×10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717B5E">
              <w:rPr>
                <w:rFonts w:ascii="Tahoma" w:hAnsi="Tahoma" w:cs="Tahoma"/>
                <w:kern w:val="0"/>
                <w:sz w:val="18"/>
                <w:szCs w:val="18"/>
              </w:rPr>
              <w:t>国标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717B5E">
              <w:rPr>
                <w:rFonts w:ascii="宋体" w:hAnsi="宋体" w:cs="Arial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17B5E">
              <w:rPr>
                <w:rFonts w:ascii="Tahoma" w:hAnsi="Tahoma" w:cs="Tahoma"/>
                <w:kern w:val="0"/>
                <w:sz w:val="20"/>
                <w:szCs w:val="20"/>
              </w:rPr>
              <w:t>4,800.00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17B5E">
              <w:rPr>
                <w:rFonts w:ascii="宋体" w:hAnsi="宋体" w:cs="Arial" w:hint="eastAsia"/>
                <w:kern w:val="0"/>
                <w:sz w:val="24"/>
              </w:rPr>
              <w:t>以甲方书面通知为准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717B5E" w:rsidRDefault="000E5ACB" w:rsidP="006025A0">
            <w:pPr>
              <w:widowControl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5ACB" w:rsidRPr="00717B5E" w:rsidTr="006025A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7B5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7B5E">
              <w:rPr>
                <w:rFonts w:ascii="Arial" w:hAnsi="Arial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7B5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7B5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7B5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7B5E">
              <w:rPr>
                <w:rFonts w:ascii="Arial" w:hAnsi="Arial" w:cs="Arial"/>
                <w:kern w:val="0"/>
                <w:sz w:val="20"/>
                <w:szCs w:val="20"/>
              </w:rPr>
              <w:t xml:space="preserve">929230.00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7B5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ACB" w:rsidRPr="00717B5E" w:rsidRDefault="000E5ACB" w:rsidP="006025A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17B5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E5ACB" w:rsidRPr="00391D19" w:rsidRDefault="000E5ACB" w:rsidP="000E5ACB">
      <w:pPr>
        <w:tabs>
          <w:tab w:val="left" w:pos="1395"/>
        </w:tabs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</w:p>
    <w:p w:rsidR="000E5ACB" w:rsidRDefault="000E5ACB" w:rsidP="000E5ACB">
      <w:pPr>
        <w:tabs>
          <w:tab w:val="left" w:pos="1395"/>
        </w:tabs>
        <w:rPr>
          <w:rFonts w:ascii="新宋体" w:eastAsia="新宋体" w:hAnsi="新宋体" w:cs="新宋体"/>
          <w:color w:val="000000"/>
          <w:sz w:val="28"/>
          <w:szCs w:val="28"/>
          <w:lang w:bidi="ar"/>
        </w:rPr>
        <w:sectPr w:rsidR="000E5ACB" w:rsidSect="000E5AC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E5ACB" w:rsidRPr="00391D19" w:rsidRDefault="000E5ACB" w:rsidP="000E5ACB">
      <w:pPr>
        <w:tabs>
          <w:tab w:val="left" w:pos="1395"/>
        </w:tabs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  <w:r w:rsidRPr="00391D19">
        <w:rPr>
          <w:rFonts w:ascii="新宋体" w:eastAsia="新宋体" w:hAnsi="新宋体" w:cs="新宋体"/>
          <w:color w:val="000000"/>
          <w:sz w:val="28"/>
          <w:szCs w:val="28"/>
          <w:lang w:bidi="ar"/>
        </w:rPr>
        <w:lastRenderedPageBreak/>
        <w:tab/>
      </w: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附表</w:t>
      </w:r>
      <w:r w:rsidR="0027652E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3、</w:t>
      </w: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 xml:space="preserve">  杭州</w:t>
      </w:r>
      <w:r w:rsidRPr="00391D19">
        <w:rPr>
          <w:rFonts w:ascii="新宋体" w:eastAsia="新宋体" w:hAnsi="新宋体" w:cs="新宋体"/>
          <w:color w:val="000000"/>
          <w:sz w:val="28"/>
          <w:szCs w:val="28"/>
          <w:lang w:bidi="ar"/>
        </w:rPr>
        <w:t>地铁</w:t>
      </w:r>
      <w:r w:rsidRPr="00391D19"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集团合格</w:t>
      </w:r>
      <w:r w:rsidRPr="00391D19">
        <w:rPr>
          <w:rFonts w:ascii="新宋体" w:eastAsia="新宋体" w:hAnsi="新宋体" w:cs="新宋体"/>
          <w:color w:val="000000"/>
          <w:sz w:val="28"/>
          <w:szCs w:val="28"/>
          <w:lang w:bidi="ar"/>
        </w:rPr>
        <w:t>供应商名录</w:t>
      </w:r>
    </w:p>
    <w:p w:rsidR="000E5ACB" w:rsidRPr="00391D19" w:rsidRDefault="000E5ACB" w:rsidP="000E5ACB">
      <w:pPr>
        <w:tabs>
          <w:tab w:val="left" w:pos="1395"/>
        </w:tabs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</w:p>
    <w:tbl>
      <w:tblPr>
        <w:tblW w:w="6640" w:type="dxa"/>
        <w:jc w:val="center"/>
        <w:tblInd w:w="108" w:type="dxa"/>
        <w:tblLook w:val="04A0" w:firstRow="1" w:lastRow="0" w:firstColumn="1" w:lastColumn="0" w:noHBand="0" w:noVBand="1"/>
      </w:tblPr>
      <w:tblGrid>
        <w:gridCol w:w="1080"/>
        <w:gridCol w:w="1080"/>
        <w:gridCol w:w="4480"/>
      </w:tblGrid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  <w:p w:rsidR="000E5ACB" w:rsidRPr="00391D19" w:rsidRDefault="000E5ACB" w:rsidP="006025A0">
            <w:pPr>
              <w:widowControl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ind w:firstLineChars="350" w:firstLine="77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供应商</w:t>
            </w:r>
            <w:bookmarkStart w:id="0" w:name="_GoBack"/>
            <w:bookmarkEnd w:id="0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名录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低压动力电缆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浙江万马股份有限公司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杭州电缆股份有限公司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江苏中超控股股份有限公司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</w:t>
            </w:r>
            <w:proofErr w:type="gramStart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胜科技</w:t>
            </w:r>
            <w:proofErr w:type="gramEnd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创新股份有限公司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无锡江南电缆有限公司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扬州迅</w:t>
            </w:r>
            <w:proofErr w:type="gramStart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</w:t>
            </w:r>
            <w:proofErr w:type="gramEnd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电缆有限公司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江苏中煤电缆有限公司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杭州富通线缆</w:t>
            </w:r>
            <w:proofErr w:type="gramEnd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销售有限公司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宁波东方电缆股份有限公司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浙江晨光电缆股份有限公司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CB" w:rsidRPr="00391D19" w:rsidRDefault="000E5ACB" w:rsidP="0060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1500V直流电缆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</w:t>
            </w:r>
            <w:proofErr w:type="gramStart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胜科技</w:t>
            </w:r>
            <w:proofErr w:type="gramEnd"/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创新股份有限公司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上海南大集团有限公司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杭州电缆股份有限公司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无锡江南电缆有限公司 </w:t>
            </w:r>
          </w:p>
        </w:tc>
      </w:tr>
      <w:tr w:rsidR="000E5ACB" w:rsidRPr="00391D19" w:rsidTr="006025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B" w:rsidRPr="00391D19" w:rsidRDefault="000E5ACB" w:rsidP="0060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1D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浙江万马股份有限公司 </w:t>
            </w:r>
          </w:p>
        </w:tc>
      </w:tr>
    </w:tbl>
    <w:p w:rsidR="000E5ACB" w:rsidRPr="00391D19" w:rsidRDefault="000E5ACB" w:rsidP="000E5ACB">
      <w:pPr>
        <w:tabs>
          <w:tab w:val="left" w:pos="1395"/>
        </w:tabs>
        <w:jc w:val="center"/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</w:p>
    <w:p w:rsidR="00315494" w:rsidRPr="000E5ACB" w:rsidRDefault="00DC50BA"/>
    <w:sectPr w:rsidR="00315494" w:rsidRPr="000E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BA" w:rsidRDefault="00DC50BA" w:rsidP="000E5ACB">
      <w:r>
        <w:separator/>
      </w:r>
    </w:p>
  </w:endnote>
  <w:endnote w:type="continuationSeparator" w:id="0">
    <w:p w:rsidR="00DC50BA" w:rsidRDefault="00DC50BA" w:rsidP="000E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BA" w:rsidRDefault="00DC50BA" w:rsidP="000E5ACB">
      <w:r>
        <w:separator/>
      </w:r>
    </w:p>
  </w:footnote>
  <w:footnote w:type="continuationSeparator" w:id="0">
    <w:p w:rsidR="00DC50BA" w:rsidRDefault="00DC50BA" w:rsidP="000E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86"/>
    <w:rsid w:val="0000057C"/>
    <w:rsid w:val="00003A6A"/>
    <w:rsid w:val="00011203"/>
    <w:rsid w:val="0001178C"/>
    <w:rsid w:val="00023B15"/>
    <w:rsid w:val="00033D98"/>
    <w:rsid w:val="00036AA0"/>
    <w:rsid w:val="00042342"/>
    <w:rsid w:val="0004462E"/>
    <w:rsid w:val="00054A51"/>
    <w:rsid w:val="00060F47"/>
    <w:rsid w:val="0009609A"/>
    <w:rsid w:val="000A4E50"/>
    <w:rsid w:val="000A7692"/>
    <w:rsid w:val="000D2867"/>
    <w:rsid w:val="000E0CA9"/>
    <w:rsid w:val="000E46F4"/>
    <w:rsid w:val="000E558F"/>
    <w:rsid w:val="000E5ACB"/>
    <w:rsid w:val="000E7089"/>
    <w:rsid w:val="000F4250"/>
    <w:rsid w:val="001118FD"/>
    <w:rsid w:val="00132DAB"/>
    <w:rsid w:val="00141DC3"/>
    <w:rsid w:val="00147B3D"/>
    <w:rsid w:val="00167297"/>
    <w:rsid w:val="001908AA"/>
    <w:rsid w:val="0019548E"/>
    <w:rsid w:val="001A5627"/>
    <w:rsid w:val="001A7624"/>
    <w:rsid w:val="001B3B66"/>
    <w:rsid w:val="001C40AD"/>
    <w:rsid w:val="001C72D5"/>
    <w:rsid w:val="001F1DE5"/>
    <w:rsid w:val="001F69E6"/>
    <w:rsid w:val="002235EB"/>
    <w:rsid w:val="00234CA2"/>
    <w:rsid w:val="002515B3"/>
    <w:rsid w:val="0027652E"/>
    <w:rsid w:val="00276571"/>
    <w:rsid w:val="00294966"/>
    <w:rsid w:val="002A2127"/>
    <w:rsid w:val="002A4F26"/>
    <w:rsid w:val="002B5675"/>
    <w:rsid w:val="002C0B9A"/>
    <w:rsid w:val="002C683A"/>
    <w:rsid w:val="002C744B"/>
    <w:rsid w:val="002C7C7B"/>
    <w:rsid w:val="002D14BE"/>
    <w:rsid w:val="002D237E"/>
    <w:rsid w:val="002D7959"/>
    <w:rsid w:val="003176A5"/>
    <w:rsid w:val="00331CC0"/>
    <w:rsid w:val="00357CA0"/>
    <w:rsid w:val="00363A13"/>
    <w:rsid w:val="00377689"/>
    <w:rsid w:val="003B4921"/>
    <w:rsid w:val="003C159E"/>
    <w:rsid w:val="003C1751"/>
    <w:rsid w:val="003C460C"/>
    <w:rsid w:val="00403E5A"/>
    <w:rsid w:val="00411E0A"/>
    <w:rsid w:val="00421411"/>
    <w:rsid w:val="00422626"/>
    <w:rsid w:val="004226E5"/>
    <w:rsid w:val="00433A13"/>
    <w:rsid w:val="00462C88"/>
    <w:rsid w:val="00471570"/>
    <w:rsid w:val="004715C7"/>
    <w:rsid w:val="004823E7"/>
    <w:rsid w:val="0051658B"/>
    <w:rsid w:val="00520F8F"/>
    <w:rsid w:val="00562781"/>
    <w:rsid w:val="00580936"/>
    <w:rsid w:val="005922B3"/>
    <w:rsid w:val="005A001E"/>
    <w:rsid w:val="005A1F86"/>
    <w:rsid w:val="005B63FE"/>
    <w:rsid w:val="005C3886"/>
    <w:rsid w:val="005D0134"/>
    <w:rsid w:val="005D5A14"/>
    <w:rsid w:val="005E21F1"/>
    <w:rsid w:val="005F0726"/>
    <w:rsid w:val="005F26F3"/>
    <w:rsid w:val="00603AC6"/>
    <w:rsid w:val="006042D8"/>
    <w:rsid w:val="00604464"/>
    <w:rsid w:val="006163D5"/>
    <w:rsid w:val="006176C0"/>
    <w:rsid w:val="00692F62"/>
    <w:rsid w:val="006D20FA"/>
    <w:rsid w:val="006E077F"/>
    <w:rsid w:val="006F1BC5"/>
    <w:rsid w:val="006F61D8"/>
    <w:rsid w:val="007263C8"/>
    <w:rsid w:val="007412E9"/>
    <w:rsid w:val="00751BAD"/>
    <w:rsid w:val="00773152"/>
    <w:rsid w:val="00783ED0"/>
    <w:rsid w:val="0079396B"/>
    <w:rsid w:val="007952EE"/>
    <w:rsid w:val="007A5D53"/>
    <w:rsid w:val="007D166F"/>
    <w:rsid w:val="007D7DE0"/>
    <w:rsid w:val="007F4897"/>
    <w:rsid w:val="00827444"/>
    <w:rsid w:val="00866A0B"/>
    <w:rsid w:val="0089086C"/>
    <w:rsid w:val="008967CC"/>
    <w:rsid w:val="008975F2"/>
    <w:rsid w:val="008A3AEA"/>
    <w:rsid w:val="008B0799"/>
    <w:rsid w:val="008B1AEA"/>
    <w:rsid w:val="008B4458"/>
    <w:rsid w:val="008D7750"/>
    <w:rsid w:val="008E0425"/>
    <w:rsid w:val="008E125A"/>
    <w:rsid w:val="008F46BA"/>
    <w:rsid w:val="009135DC"/>
    <w:rsid w:val="00931D3F"/>
    <w:rsid w:val="009351EB"/>
    <w:rsid w:val="009559E3"/>
    <w:rsid w:val="00967452"/>
    <w:rsid w:val="00970473"/>
    <w:rsid w:val="009851F3"/>
    <w:rsid w:val="009F42D4"/>
    <w:rsid w:val="00A03D8E"/>
    <w:rsid w:val="00A03E43"/>
    <w:rsid w:val="00A11E5C"/>
    <w:rsid w:val="00A418D8"/>
    <w:rsid w:val="00A462B6"/>
    <w:rsid w:val="00A83F0D"/>
    <w:rsid w:val="00A953D0"/>
    <w:rsid w:val="00AA1908"/>
    <w:rsid w:val="00AA48FB"/>
    <w:rsid w:val="00AA6F07"/>
    <w:rsid w:val="00AC0D41"/>
    <w:rsid w:val="00AF0DDD"/>
    <w:rsid w:val="00AF3530"/>
    <w:rsid w:val="00B1446B"/>
    <w:rsid w:val="00B3196B"/>
    <w:rsid w:val="00B629BA"/>
    <w:rsid w:val="00B63A28"/>
    <w:rsid w:val="00B73990"/>
    <w:rsid w:val="00B842F8"/>
    <w:rsid w:val="00B84B07"/>
    <w:rsid w:val="00B85768"/>
    <w:rsid w:val="00B86CE7"/>
    <w:rsid w:val="00B96CC3"/>
    <w:rsid w:val="00BA6988"/>
    <w:rsid w:val="00BB7474"/>
    <w:rsid w:val="00BD2D5B"/>
    <w:rsid w:val="00BD6847"/>
    <w:rsid w:val="00C37CE9"/>
    <w:rsid w:val="00C4298C"/>
    <w:rsid w:val="00C46EB2"/>
    <w:rsid w:val="00C53116"/>
    <w:rsid w:val="00C63C60"/>
    <w:rsid w:val="00C979DF"/>
    <w:rsid w:val="00CA25B0"/>
    <w:rsid w:val="00CA5D26"/>
    <w:rsid w:val="00CB2A19"/>
    <w:rsid w:val="00CC7807"/>
    <w:rsid w:val="00CE352F"/>
    <w:rsid w:val="00CF7F34"/>
    <w:rsid w:val="00D171DC"/>
    <w:rsid w:val="00D216EB"/>
    <w:rsid w:val="00D30CED"/>
    <w:rsid w:val="00D552B4"/>
    <w:rsid w:val="00D55FEF"/>
    <w:rsid w:val="00D63C75"/>
    <w:rsid w:val="00D770BC"/>
    <w:rsid w:val="00D81B1A"/>
    <w:rsid w:val="00D9431D"/>
    <w:rsid w:val="00DA599E"/>
    <w:rsid w:val="00DC50BA"/>
    <w:rsid w:val="00DC6F94"/>
    <w:rsid w:val="00DE54CA"/>
    <w:rsid w:val="00DF255B"/>
    <w:rsid w:val="00E00D26"/>
    <w:rsid w:val="00E01F51"/>
    <w:rsid w:val="00E163C0"/>
    <w:rsid w:val="00E4363A"/>
    <w:rsid w:val="00E460DC"/>
    <w:rsid w:val="00E67ACA"/>
    <w:rsid w:val="00E8616D"/>
    <w:rsid w:val="00EA7E37"/>
    <w:rsid w:val="00EC0BE7"/>
    <w:rsid w:val="00EC4465"/>
    <w:rsid w:val="00EE33E9"/>
    <w:rsid w:val="00EF501A"/>
    <w:rsid w:val="00F142A7"/>
    <w:rsid w:val="00F32B61"/>
    <w:rsid w:val="00F36804"/>
    <w:rsid w:val="00F41667"/>
    <w:rsid w:val="00F442FD"/>
    <w:rsid w:val="00F57CFC"/>
    <w:rsid w:val="00F636F5"/>
    <w:rsid w:val="00F84D2A"/>
    <w:rsid w:val="00F905AC"/>
    <w:rsid w:val="00F949B0"/>
    <w:rsid w:val="00FB232C"/>
    <w:rsid w:val="00FB4249"/>
    <w:rsid w:val="00FC23F5"/>
    <w:rsid w:val="00FD61AA"/>
    <w:rsid w:val="00FE45B0"/>
    <w:rsid w:val="00FF0DC6"/>
    <w:rsid w:val="00FF24C2"/>
    <w:rsid w:val="00FF324C"/>
    <w:rsid w:val="00FF3D32"/>
    <w:rsid w:val="00FF50AE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王倩</dc:creator>
  <cp:keywords/>
  <dc:description/>
  <cp:lastModifiedBy>王倩</cp:lastModifiedBy>
  <cp:revision>3</cp:revision>
  <dcterms:created xsi:type="dcterms:W3CDTF">2018-07-04T02:00:00Z</dcterms:created>
  <dcterms:modified xsi:type="dcterms:W3CDTF">2018-07-04T02:02:00Z</dcterms:modified>
</cp:coreProperties>
</file>