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ascii="宋体" w:hAnsi="宋体" w:eastAsia="宋体"/>
          <w:b/>
          <w:bCs/>
        </w:rPr>
      </w:pPr>
      <w:bookmarkStart w:id="0" w:name="_Toc15834"/>
      <w:r>
        <w:rPr>
          <w:rFonts w:hint="eastAsia" w:ascii="宋体" w:hAnsi="宋体" w:eastAsia="宋体"/>
          <w:b/>
          <w:bCs/>
        </w:rPr>
        <w:t>第六章 采购需求</w:t>
      </w:r>
      <w:bookmarkEnd w:id="0"/>
    </w:p>
    <w:p>
      <w:pPr>
        <w:spacing w:line="360" w:lineRule="auto"/>
        <w:rPr>
          <w:rFonts w:hint="eastAsia" w:ascii="宋体" w:hAnsi="宋体" w:eastAsia="宋体"/>
          <w:sz w:val="24"/>
          <w:szCs w:val="28"/>
        </w:rPr>
      </w:pPr>
      <w:bookmarkStart w:id="1" w:name="_Hlt509716920"/>
      <w:bookmarkEnd w:id="1"/>
      <w:r>
        <w:rPr>
          <w:rFonts w:hint="eastAsia" w:ascii="宋体" w:hAnsi="宋体" w:eastAsia="宋体"/>
          <w:sz w:val="24"/>
          <w:szCs w:val="28"/>
        </w:rPr>
        <w:t>前注：</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8"/>
        </w:rPr>
        <w:t>1、本采购需求中提出的技术方案仅为参考，如无明确限制，投标供应商可以进行优化，提供满足采购人实际需要的更优（或者性能实质上不低于的）</w:t>
      </w:r>
      <w:r>
        <w:rPr>
          <w:rFonts w:hint="eastAsia" w:ascii="宋体" w:hAnsi="宋体" w:eastAsia="宋体"/>
          <w:sz w:val="24"/>
          <w:szCs w:val="24"/>
        </w:rPr>
        <w:t>技术方案或者设备配置，且此方案或配置须经评标委员会评审认可；</w:t>
      </w:r>
      <w:r>
        <w:rPr>
          <w:rFonts w:hint="eastAsia" w:ascii="宋体" w:hAnsi="宋体" w:eastAsia="宋体"/>
          <w:sz w:val="24"/>
          <w:szCs w:val="24"/>
        </w:rPr>
        <w:cr/>
      </w:r>
      <w:r>
        <w:rPr>
          <w:rFonts w:hint="eastAsia" w:ascii="宋体" w:hAnsi="宋体" w:eastAsia="宋体"/>
          <w:sz w:val="24"/>
          <w:szCs w:val="24"/>
        </w:rPr>
        <w:t>2、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pPr>
        <w:spacing w:line="360" w:lineRule="auto"/>
        <w:rPr>
          <w:rFonts w:hint="eastAsia" w:ascii="宋体" w:hAnsi="宋体" w:eastAsia="宋体"/>
          <w:b/>
          <w:sz w:val="24"/>
          <w:szCs w:val="24"/>
          <w:u w:val="single"/>
        </w:rPr>
      </w:pPr>
      <w:r>
        <w:rPr>
          <w:rFonts w:hint="eastAsia" w:ascii="宋体" w:hAnsi="宋体" w:eastAsia="宋体"/>
          <w:sz w:val="24"/>
          <w:szCs w:val="28"/>
        </w:rPr>
        <w:t>3、为有助于投标供应商选择投标产品，若项目需求中提供了推荐品牌（或型号）、参考品牌（或型号）等，这些品牌（或型号）仅供参考，并无限制性。投标供应商可以选择性能不低于推荐（或参考）的品牌（或型号）的其他品牌产品，但投标时应当提供有关技术证明资料，未提供的可能导致投标无效；</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4"/>
        </w:rPr>
        <w:t>4、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根据《关于规范政府采购进口产品有关工作的通知》及政府采购管理部门的相关规定，</w:t>
      </w:r>
      <w:r>
        <w:rPr>
          <w:rFonts w:hint="eastAsia" w:ascii="宋体" w:hAnsi="宋体" w:eastAsia="宋体"/>
          <w:b/>
          <w:sz w:val="24"/>
          <w:szCs w:val="24"/>
        </w:rPr>
        <w:t>下列采购需求中如涉及进口产品则</w:t>
      </w:r>
      <w:r>
        <w:rPr>
          <w:rFonts w:ascii="宋体" w:hAnsi="宋体" w:eastAsia="宋体"/>
          <w:b/>
          <w:sz w:val="24"/>
          <w:szCs w:val="24"/>
        </w:rPr>
        <w:t>已履行相关论证手续，经核准采购进口设备</w:t>
      </w:r>
      <w:r>
        <w:rPr>
          <w:rFonts w:hint="eastAsia" w:ascii="宋体" w:hAnsi="宋体" w:eastAsia="宋体"/>
          <w:b/>
          <w:sz w:val="24"/>
          <w:szCs w:val="24"/>
        </w:rPr>
        <w:t>，但不限制满足招标文件要求的国内产品参与竞争；</w:t>
      </w:r>
    </w:p>
    <w:p>
      <w:pPr>
        <w:adjustRightInd w:val="0"/>
        <w:snapToGrid w:val="0"/>
        <w:spacing w:line="360" w:lineRule="auto"/>
        <w:rPr>
          <w:rFonts w:hint="eastAsia" w:ascii="宋体" w:hAnsi="宋体" w:eastAsia="宋体"/>
          <w:b/>
          <w:bCs/>
          <w:sz w:val="24"/>
        </w:rPr>
      </w:pPr>
      <w:r>
        <w:rPr>
          <w:rFonts w:hint="eastAsia" w:ascii="宋体" w:hAnsi="宋体" w:eastAsia="宋体"/>
          <w:b/>
          <w:bCs/>
          <w:sz w:val="24"/>
        </w:rPr>
        <w:t>6、在采购活动开始前没有获准采购进口产品而开展采购活动的，视同为拒绝采购进口产品；</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highlight w:val="yellow"/>
        </w:rPr>
        <w:t>7、下列采购需求中：如属于最新一期《节能产品政府采购清单》中政府强制采购的节能产品，则投标供应商所投产品须为最新一期《节能产品政府采购清单》内所列产品；</w:t>
      </w:r>
    </w:p>
    <w:p>
      <w:pPr>
        <w:spacing w:line="360" w:lineRule="auto"/>
        <w:rPr>
          <w:rFonts w:hint="eastAsia" w:ascii="宋体" w:hAnsi="宋体" w:eastAsia="宋体"/>
          <w:sz w:val="24"/>
        </w:rPr>
      </w:pPr>
      <w:r>
        <w:rPr>
          <w:rFonts w:hint="eastAsia" w:ascii="宋体" w:hAnsi="宋体" w:eastAsia="宋体"/>
          <w:sz w:val="24"/>
        </w:rPr>
        <w:t>8、下列采购需求中：标注▲的产品，投标供应商在投</w:t>
      </w:r>
      <w:r>
        <w:rPr>
          <w:rFonts w:ascii="宋体" w:hAnsi="宋体" w:eastAsia="宋体"/>
          <w:sz w:val="24"/>
        </w:rPr>
        <w:t>标</w:t>
      </w:r>
      <w:r>
        <w:rPr>
          <w:rFonts w:hint="eastAsia" w:ascii="宋体" w:hAnsi="宋体" w:eastAsia="宋体"/>
          <w:sz w:val="24"/>
        </w:rPr>
        <w:t>文件《</w:t>
      </w:r>
      <w:r>
        <w:rPr>
          <w:rFonts w:hint="eastAsia" w:ascii="宋体" w:hAnsi="宋体" w:eastAsia="宋体"/>
          <w:bCs/>
          <w:sz w:val="24"/>
        </w:rPr>
        <w:t>主要成交标的承诺函</w:t>
      </w:r>
      <w:r>
        <w:rPr>
          <w:rFonts w:hint="eastAsia" w:ascii="宋体" w:hAnsi="宋体" w:eastAsia="宋体"/>
          <w:sz w:val="24"/>
        </w:rPr>
        <w:t>》中填写名称、规格、型号、数量、单价等信息，承诺函随评审结果一并公告；</w:t>
      </w:r>
    </w:p>
    <w:p>
      <w:pPr>
        <w:spacing w:line="360" w:lineRule="auto"/>
        <w:rPr>
          <w:rFonts w:hint="eastAsia" w:ascii="宋体" w:hAnsi="宋体"/>
          <w:b/>
          <w:sz w:val="24"/>
        </w:rPr>
      </w:pPr>
      <w:r>
        <w:rPr>
          <w:rFonts w:hint="eastAsia" w:ascii="宋体" w:hAnsi="宋体" w:eastAsia="宋体"/>
          <w:b/>
          <w:sz w:val="24"/>
        </w:rPr>
        <w:t>9、单一产品采购项目中，提供</w:t>
      </w:r>
      <w:r>
        <w:rPr>
          <w:rFonts w:hint="eastAsia" w:ascii="宋体" w:hAnsi="宋体" w:eastAsia="宋体"/>
          <w:b/>
          <w:sz w:val="24"/>
          <w:highlight w:val="yellow"/>
        </w:rPr>
        <w:t>同一品牌产品</w:t>
      </w:r>
      <w:r>
        <w:rPr>
          <w:rFonts w:hint="eastAsia" w:ascii="宋体" w:hAnsi="宋体" w:eastAsia="宋体"/>
          <w:b/>
          <w:sz w:val="24"/>
        </w:rPr>
        <w:t>的不同供应商参加同一包项下投标的，以一家供应商计算有效供应商数量。非单一产品采购项目中，提供标注▲的产品均为</w:t>
      </w:r>
      <w:r>
        <w:rPr>
          <w:rFonts w:hint="eastAsia" w:ascii="宋体" w:hAnsi="宋体" w:eastAsia="宋体"/>
          <w:b/>
          <w:sz w:val="24"/>
          <w:highlight w:val="yellow"/>
        </w:rPr>
        <w:t>同一品牌</w:t>
      </w:r>
      <w:r>
        <w:rPr>
          <w:rFonts w:hint="eastAsia" w:ascii="宋体" w:hAnsi="宋体" w:eastAsia="宋体"/>
          <w:b/>
          <w:sz w:val="24"/>
        </w:rPr>
        <w:t>的不同供应商参加同一包项下投标的，以一家供应商计算有效供应商数量；</w:t>
      </w:r>
    </w:p>
    <w:p>
      <w:pPr>
        <w:spacing w:line="360" w:lineRule="auto"/>
        <w:rPr>
          <w:rFonts w:hint="eastAsia" w:ascii="宋体" w:hAnsi="宋体" w:eastAsia="宋体"/>
          <w:sz w:val="24"/>
          <w:szCs w:val="24"/>
        </w:rPr>
      </w:pPr>
      <w:r>
        <w:rPr>
          <w:rFonts w:hint="eastAsia" w:ascii="宋体" w:hAnsi="宋体" w:eastAsia="宋体"/>
          <w:sz w:val="24"/>
          <w:szCs w:val="24"/>
        </w:rPr>
        <w:t>10、如对本招标文件有任何疑问或澄清要求，请按本招标文件“投标供应商须知前附表”中约定方式联系庐江县政府采购中心，或接受答疑截止时间前联系采购人，否则视同理解和接受，开标后庐江县政府采购中心不再受理对招标文件条款提出的质疑；</w:t>
      </w:r>
    </w:p>
    <w:p>
      <w:pPr>
        <w:spacing w:line="360" w:lineRule="auto"/>
        <w:rPr>
          <w:rFonts w:hint="eastAsia" w:ascii="宋体" w:hAnsi="宋体" w:eastAsia="宋体"/>
          <w:b/>
          <w:sz w:val="24"/>
          <w:szCs w:val="28"/>
        </w:rPr>
      </w:pPr>
      <w:r>
        <w:rPr>
          <w:rFonts w:hint="eastAsia" w:ascii="宋体" w:hAnsi="宋体" w:eastAsia="宋体"/>
          <w:b/>
          <w:sz w:val="24"/>
          <w:szCs w:val="28"/>
        </w:rPr>
        <w:t>一、货物需求</w:t>
      </w:r>
    </w:p>
    <w:tbl>
      <w:tblPr>
        <w:tblStyle w:val="5"/>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4"/>
        <w:gridCol w:w="1605"/>
        <w:gridCol w:w="1952"/>
        <w:gridCol w:w="825"/>
        <w:gridCol w:w="810"/>
        <w:gridCol w:w="2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YJV22-10KV-3*400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28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沙溪西路杆线迁移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YJV22-10KV-3*300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YJV22-10KV-3*70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YJV22-1KV-4*240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2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铝芯护套线</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BLVVB-2*6</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柯坦滨河小区工程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铝芯电缆</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VLV-4*70</w:t>
            </w:r>
          </w:p>
        </w:tc>
        <w:tc>
          <w:tcPr>
            <w:tcW w:w="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2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bl>
    <w:p>
      <w:pPr>
        <w:widowControl/>
        <w:jc w:val="left"/>
        <w:rPr>
          <w:rFonts w:hint="eastAsia" w:ascii="宋体" w:hAnsi="宋体" w:cs="宋体"/>
          <w:kern w:val="0"/>
          <w:sz w:val="24"/>
          <w:szCs w:val="24"/>
        </w:rPr>
      </w:pPr>
      <w:r>
        <w:rPr>
          <w:rFonts w:hint="eastAsia" w:ascii="宋体" w:hAnsi="宋体" w:cs="宋体"/>
          <w:kern w:val="0"/>
          <w:sz w:val="24"/>
          <w:szCs w:val="24"/>
        </w:rPr>
        <w:t>注：（1）</w:t>
      </w:r>
      <w:r>
        <w:rPr>
          <w:rFonts w:ascii="宋体" w:hAnsi="宋体" w:cs="宋体"/>
          <w:kern w:val="0"/>
          <w:sz w:val="24"/>
          <w:szCs w:val="24"/>
        </w:rPr>
        <w:t>工程量清单中给出的工程量是估算量或暂定量，是为投标报价确定的共同的基础，不能作为最终结算与支付的依据。实际</w:t>
      </w:r>
      <w:r>
        <w:rPr>
          <w:rFonts w:hint="eastAsia" w:ascii="宋体" w:hAnsi="宋体" w:cs="宋体"/>
          <w:kern w:val="0"/>
          <w:sz w:val="24"/>
          <w:szCs w:val="24"/>
        </w:rPr>
        <w:t>工程价款</w:t>
      </w:r>
      <w:r>
        <w:rPr>
          <w:rFonts w:ascii="宋体" w:hAnsi="宋体" w:cs="宋体"/>
          <w:kern w:val="0"/>
          <w:sz w:val="24"/>
          <w:szCs w:val="24"/>
        </w:rPr>
        <w:t xml:space="preserve">的支付，按工程量清单中所报的单价乘以实际工程量计算支付 </w:t>
      </w:r>
      <w:r>
        <w:rPr>
          <w:rFonts w:hint="eastAsia" w:ascii="宋体" w:hAnsi="宋体" w:cs="宋体"/>
          <w:kern w:val="0"/>
          <w:sz w:val="24"/>
          <w:szCs w:val="24"/>
        </w:rPr>
        <w:t>。</w:t>
      </w:r>
    </w:p>
    <w:p>
      <w:pPr>
        <w:pStyle w:val="3"/>
        <w:numPr>
          <w:ilvl w:val="0"/>
          <w:numId w:val="1"/>
        </w:numPr>
        <w:snapToGrid w:val="0"/>
        <w:spacing w:line="360" w:lineRule="auto"/>
        <w:rPr>
          <w:rFonts w:hint="eastAsia" w:hAnsi="宋体" w:cs="宋体"/>
          <w:kern w:val="0"/>
          <w:sz w:val="24"/>
          <w:szCs w:val="24"/>
          <w:lang w:val="en-US" w:eastAsia="zh-CN"/>
        </w:rPr>
      </w:pPr>
      <w:r>
        <w:rPr>
          <w:rFonts w:hint="eastAsia" w:ascii="宋体" w:hAnsi="宋体" w:cs="宋体"/>
          <w:kern w:val="0"/>
          <w:sz w:val="24"/>
          <w:szCs w:val="24"/>
        </w:rPr>
        <w:t>国家电网公司或安徽省电力公司集中招标活动供应商资质能力核实结果证明函件未包含所投产品，可单独提供相应对应的型式实验报告可视为有效证明</w:t>
      </w:r>
      <w:r>
        <w:rPr>
          <w:rFonts w:hint="eastAsia" w:hAnsi="宋体" w:cs="宋体"/>
          <w:kern w:val="0"/>
          <w:sz w:val="24"/>
          <w:szCs w:val="24"/>
          <w:lang w:val="en-US" w:eastAsia="zh-CN"/>
        </w:rPr>
        <w:t>.</w:t>
      </w:r>
    </w:p>
    <w:p>
      <w:pPr>
        <w:pStyle w:val="3"/>
        <w:numPr>
          <w:ilvl w:val="0"/>
          <w:numId w:val="1"/>
        </w:numPr>
        <w:snapToGrid w:val="0"/>
        <w:spacing w:line="360" w:lineRule="auto"/>
        <w:rPr>
          <w:rFonts w:hint="eastAsia"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铜芯电缆、铝芯护套线、铝芯电缆质量必须接受第三方检测。</w:t>
      </w:r>
    </w:p>
    <w:p>
      <w:pPr>
        <w:spacing w:line="360" w:lineRule="auto"/>
        <w:rPr>
          <w:rFonts w:hint="eastAsia" w:ascii="宋体" w:hAnsi="宋体" w:eastAsia="宋体"/>
          <w:b/>
          <w:sz w:val="24"/>
          <w:szCs w:val="28"/>
        </w:rPr>
      </w:pPr>
    </w:p>
    <w:p>
      <w:pPr>
        <w:spacing w:line="360" w:lineRule="auto"/>
        <w:rPr>
          <w:rFonts w:hint="eastAsia" w:ascii="宋体" w:hAnsi="宋体" w:eastAsia="宋体"/>
          <w:b/>
          <w:sz w:val="24"/>
          <w:szCs w:val="28"/>
        </w:rPr>
      </w:pPr>
    </w:p>
    <w:p>
      <w:pPr>
        <w:pStyle w:val="3"/>
        <w:numPr>
          <w:ilvl w:val="0"/>
          <w:numId w:val="0"/>
        </w:numPr>
        <w:snapToGrid w:val="0"/>
        <w:spacing w:line="360" w:lineRule="auto"/>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D3DE"/>
    <w:multiLevelType w:val="singleLevel"/>
    <w:tmpl w:val="599CD3D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843EA"/>
    <w:rsid w:val="04DD1F91"/>
    <w:rsid w:val="07CD5B89"/>
    <w:rsid w:val="1AC17D23"/>
    <w:rsid w:val="1C9F13E1"/>
    <w:rsid w:val="201A7451"/>
    <w:rsid w:val="20480210"/>
    <w:rsid w:val="2381059F"/>
    <w:rsid w:val="278051A5"/>
    <w:rsid w:val="2B2A38D7"/>
    <w:rsid w:val="30F83A7F"/>
    <w:rsid w:val="34123D4C"/>
    <w:rsid w:val="391843EA"/>
    <w:rsid w:val="65813060"/>
    <w:rsid w:val="753873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ind w:firstLine="628"/>
      <w:jc w:val="center"/>
      <w:outlineLvl w:val="1"/>
    </w:pPr>
    <w:rPr>
      <w:rFonts w:ascii="楷体_GB2312" w:hAnsi="楷体_GB2312" w:eastAsia="仿宋"/>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ascii="黑体" w:hAnsi="黑体" w:cs="Times New Roman"/>
      <w:szCs w:val="24"/>
    </w:rPr>
  </w:style>
  <w:style w:type="character" w:customStyle="1" w:styleId="6">
    <w:name w:val="font21"/>
    <w:basedOn w:val="4"/>
    <w:qFormat/>
    <w:uiPriority w:val="0"/>
    <w:rPr>
      <w:rFonts w:hint="default" w:ascii="Tahoma" w:hAnsi="Tahoma" w:eastAsia="Tahoma" w:cs="Tahoma"/>
      <w:color w:val="000000"/>
      <w:sz w:val="22"/>
      <w:szCs w:val="22"/>
      <w:u w:val="none"/>
    </w:rPr>
  </w:style>
  <w:style w:type="character" w:customStyle="1" w:styleId="7">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2017-10-20T01:35:00Z</dcterms:created>
  <dc:creator>kjtgr</dc:creator>
  <cp:lastModifiedBy>kjtgr</cp:lastModifiedBy>
  <dcterms:modified xsi:type="dcterms:W3CDTF">2018-06-13T00:15:02Z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